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734" w:lineRule="exact"/>
        <w:jc w:val="center"/>
        <w:textAlignment w:val="center"/>
        <w:rPr>
          <w:rFonts w:hint="eastAsia" w:ascii="方正小标宋_GBK" w:eastAsia="方正小标宋_GBK"/>
          <w:snapToGrid w:val="0"/>
          <w:sz w:val="44"/>
          <w:szCs w:val="44"/>
        </w:rPr>
      </w:pPr>
      <w:bookmarkStart w:id="0" w:name="正文"/>
      <w:r>
        <w:rPr>
          <w:rFonts w:hint="eastAsia" w:ascii="方正小标宋_GBK" w:eastAsia="方正小标宋_GBK"/>
          <w:snapToGrid w:val="0"/>
          <w:sz w:val="44"/>
          <w:szCs w:val="44"/>
        </w:rPr>
        <w:t>广西壮族自治区退役军人事务厅等5部门</w:t>
      </w:r>
    </w:p>
    <w:p>
      <w:pPr>
        <w:overflowPunct w:val="0"/>
        <w:adjustRightInd w:val="0"/>
        <w:snapToGrid w:val="0"/>
        <w:spacing w:line="734" w:lineRule="exact"/>
        <w:jc w:val="center"/>
        <w:textAlignment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关于印发《广西壮族自治区退役士兵</w:t>
      </w:r>
    </w:p>
    <w:p>
      <w:pPr>
        <w:overflowPunct w:val="0"/>
        <w:adjustRightInd w:val="0"/>
        <w:snapToGrid w:val="0"/>
        <w:spacing w:line="734" w:lineRule="exact"/>
        <w:jc w:val="center"/>
        <w:textAlignment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教育培训暂行办法》的通知</w:t>
      </w:r>
    </w:p>
    <w:p>
      <w:pPr>
        <w:overflowPunct w:val="0"/>
        <w:adjustRightInd w:val="0"/>
        <w:snapToGrid w:val="0"/>
        <w:spacing w:line="734" w:lineRule="exact"/>
        <w:ind w:firstLine="640" w:firstLineChars="200"/>
        <w:textAlignment w:val="center"/>
        <w:rPr>
          <w:rFonts w:eastAsia="方正仿宋_GBK"/>
          <w:snapToGrid w:val="0"/>
          <w:sz w:val="32"/>
          <w:szCs w:val="32"/>
        </w:rPr>
      </w:pPr>
    </w:p>
    <w:p>
      <w:pPr>
        <w:overflowPunct w:val="0"/>
        <w:adjustRightInd w:val="0"/>
        <w:snapToGrid w:val="0"/>
        <w:spacing w:line="734" w:lineRule="exact"/>
        <w:textAlignment w:val="center"/>
        <w:rPr>
          <w:rFonts w:hint="eastAsia" w:eastAsia="方正仿宋_GBK"/>
          <w:snapToGrid w:val="0"/>
          <w:sz w:val="32"/>
          <w:szCs w:val="32"/>
        </w:rPr>
      </w:pPr>
      <w:r>
        <w:rPr>
          <w:rFonts w:hint="eastAsia" w:eastAsia="方正仿宋_GBK"/>
          <w:snapToGrid w:val="0"/>
          <w:sz w:val="32"/>
          <w:szCs w:val="32"/>
        </w:rPr>
        <w:t>各市退役军人事务局、教育局、财政局、人力资源社会保障局，各军分区（警备区）政治工作处：</w:t>
      </w:r>
    </w:p>
    <w:p>
      <w:pPr>
        <w:overflowPunct w:val="0"/>
        <w:adjustRightInd w:val="0"/>
        <w:snapToGrid w:val="0"/>
        <w:spacing w:line="734" w:lineRule="exact"/>
        <w:ind w:firstLine="640" w:firstLineChars="200"/>
        <w:textAlignment w:val="center"/>
        <w:rPr>
          <w:rFonts w:hint="eastAsia" w:eastAsia="方正仿宋_GBK"/>
          <w:snapToGrid w:val="0"/>
          <w:sz w:val="32"/>
          <w:szCs w:val="32"/>
        </w:rPr>
      </w:pPr>
      <w:r>
        <w:rPr>
          <w:rFonts w:hint="eastAsia" w:eastAsia="方正仿宋_GBK"/>
          <w:snapToGrid w:val="0"/>
          <w:sz w:val="32"/>
          <w:szCs w:val="32"/>
        </w:rPr>
        <w:t>现将《广西壮族自治区退役士兵教育培训暂行办法》印发你们，请认真贯彻执行。</w:t>
      </w:r>
    </w:p>
    <w:p>
      <w:pPr>
        <w:overflowPunct w:val="0"/>
        <w:adjustRightInd w:val="0"/>
        <w:snapToGrid w:val="0"/>
        <w:spacing w:line="630" w:lineRule="exact"/>
        <w:ind w:firstLine="640" w:firstLineChars="200"/>
        <w:textAlignment w:val="center"/>
        <w:rPr>
          <w:rFonts w:hint="eastAsia" w:eastAsia="方正仿宋_GBK"/>
          <w:snapToGrid w:val="0"/>
          <w:sz w:val="32"/>
          <w:szCs w:val="32"/>
        </w:rPr>
      </w:pPr>
    </w:p>
    <w:p>
      <w:pPr>
        <w:overflowPunct w:val="0"/>
        <w:adjustRightInd w:val="0"/>
        <w:snapToGrid w:val="0"/>
        <w:spacing w:line="630" w:lineRule="exact"/>
        <w:ind w:firstLine="640" w:firstLineChars="200"/>
        <w:textAlignment w:val="center"/>
        <w:rPr>
          <w:rFonts w:eastAsia="方正仿宋_GBK"/>
          <w:snapToGrid w:val="0"/>
          <w:sz w:val="32"/>
          <w:szCs w:val="32"/>
        </w:rPr>
      </w:pPr>
    </w:p>
    <w:p>
      <w:pPr>
        <w:overflowPunct w:val="0"/>
        <w:adjustRightInd w:val="0"/>
        <w:snapToGrid w:val="0"/>
        <w:spacing w:line="630" w:lineRule="exact"/>
        <w:jc w:val="center"/>
        <w:textAlignment w:val="center"/>
        <w:rPr>
          <w:rFonts w:hint="eastAsia" w:eastAsia="方正仿宋_GBK"/>
          <w:snapToGrid w:val="0"/>
          <w:sz w:val="32"/>
          <w:szCs w:val="32"/>
        </w:rPr>
      </w:pPr>
      <w:r>
        <w:rPr>
          <w:rFonts w:hint="eastAsia" w:eastAsia="方正仿宋_GBK"/>
          <w:snapToGrid w:val="0"/>
          <w:sz w:val="32"/>
          <w:szCs w:val="32"/>
        </w:rPr>
        <w:t>广 西 壮 族 自 治 区          广 西 壮 族 自 治 区</w:t>
      </w:r>
    </w:p>
    <w:p>
      <w:pPr>
        <w:overflowPunct w:val="0"/>
        <w:adjustRightInd w:val="0"/>
        <w:snapToGrid w:val="0"/>
        <w:spacing w:line="630" w:lineRule="exact"/>
        <w:jc w:val="center"/>
        <w:textAlignment w:val="center"/>
        <w:rPr>
          <w:rFonts w:hint="eastAsia" w:eastAsia="方正仿宋_GBK"/>
          <w:snapToGrid w:val="0"/>
          <w:sz w:val="32"/>
          <w:szCs w:val="32"/>
        </w:rPr>
      </w:pPr>
      <w:r>
        <w:rPr>
          <w:rFonts w:hint="eastAsia" w:eastAsia="方正仿宋_GBK"/>
          <w:snapToGrid w:val="0"/>
          <w:sz w:val="32"/>
          <w:szCs w:val="32"/>
        </w:rPr>
        <w:t>退 役 军 人 事 务 厅          教       育       厅</w:t>
      </w:r>
    </w:p>
    <w:p>
      <w:pPr>
        <w:overflowPunct w:val="0"/>
        <w:adjustRightInd w:val="0"/>
        <w:snapToGrid w:val="0"/>
        <w:spacing w:line="630" w:lineRule="exact"/>
        <w:jc w:val="center"/>
        <w:textAlignment w:val="center"/>
        <w:rPr>
          <w:rFonts w:hint="eastAsia" w:eastAsia="方正仿宋_GBK"/>
          <w:snapToGrid w:val="0"/>
          <w:sz w:val="32"/>
          <w:szCs w:val="32"/>
        </w:rPr>
      </w:pPr>
    </w:p>
    <w:p>
      <w:pPr>
        <w:overflowPunct w:val="0"/>
        <w:adjustRightInd w:val="0"/>
        <w:snapToGrid w:val="0"/>
        <w:spacing w:line="630" w:lineRule="exact"/>
        <w:jc w:val="center"/>
        <w:textAlignment w:val="center"/>
        <w:rPr>
          <w:rFonts w:hint="eastAsia" w:eastAsia="方正仿宋_GBK"/>
          <w:snapToGrid w:val="0"/>
          <w:sz w:val="32"/>
          <w:szCs w:val="32"/>
        </w:rPr>
      </w:pPr>
      <w:r>
        <w:rPr>
          <w:rFonts w:hint="eastAsia" w:eastAsia="方正仿宋_GBK"/>
          <w:snapToGrid w:val="0"/>
          <w:sz w:val="32"/>
          <w:szCs w:val="32"/>
        </w:rPr>
        <w:t>广 西 壮 族 自 治 区          广 西 壮 族 自 治 区</w:t>
      </w:r>
    </w:p>
    <w:p>
      <w:pPr>
        <w:overflowPunct w:val="0"/>
        <w:adjustRightInd w:val="0"/>
        <w:snapToGrid w:val="0"/>
        <w:spacing w:line="630" w:lineRule="exact"/>
        <w:jc w:val="center"/>
        <w:textAlignment w:val="center"/>
        <w:rPr>
          <w:rFonts w:hint="eastAsia" w:eastAsia="方正仿宋_GBK"/>
          <w:snapToGrid w:val="0"/>
          <w:sz w:val="32"/>
          <w:szCs w:val="32"/>
        </w:rPr>
      </w:pPr>
      <w:r>
        <w:rPr>
          <w:rFonts w:hint="eastAsia" w:eastAsia="方正仿宋_GBK"/>
          <w:snapToGrid w:val="0"/>
          <w:sz w:val="32"/>
          <w:szCs w:val="32"/>
        </w:rPr>
        <w:t>财       政       厅          人力资源和社会保障厅</w:t>
      </w:r>
    </w:p>
    <w:p>
      <w:pPr>
        <w:overflowPunct w:val="0"/>
        <w:adjustRightInd w:val="0"/>
        <w:snapToGrid w:val="0"/>
        <w:spacing w:line="630" w:lineRule="exact"/>
        <w:jc w:val="center"/>
        <w:textAlignment w:val="center"/>
        <w:rPr>
          <w:rFonts w:hint="eastAsia" w:eastAsia="方正仿宋_GBK"/>
          <w:snapToGrid w:val="0"/>
          <w:sz w:val="32"/>
          <w:szCs w:val="32"/>
        </w:rPr>
      </w:pPr>
    </w:p>
    <w:p>
      <w:pPr>
        <w:overflowPunct w:val="0"/>
        <w:adjustRightInd w:val="0"/>
        <w:snapToGrid w:val="0"/>
        <w:spacing w:line="630" w:lineRule="exact"/>
        <w:ind w:firstLine="5331" w:firstLineChars="1666"/>
        <w:textAlignment w:val="center"/>
        <w:rPr>
          <w:rFonts w:hint="eastAsia" w:eastAsia="方正仿宋_GBK"/>
          <w:snapToGrid w:val="0"/>
          <w:sz w:val="32"/>
          <w:szCs w:val="32"/>
        </w:rPr>
      </w:pPr>
      <w:r>
        <w:rPr>
          <w:rFonts w:hint="eastAsia" w:eastAsia="方正仿宋_GBK"/>
          <w:snapToGrid w:val="0"/>
          <w:sz w:val="32"/>
          <w:szCs w:val="32"/>
        </w:rPr>
        <w:t>广    西    军    区</w:t>
      </w:r>
    </w:p>
    <w:p>
      <w:pPr>
        <w:overflowPunct w:val="0"/>
        <w:adjustRightInd w:val="0"/>
        <w:snapToGrid w:val="0"/>
        <w:spacing w:line="630" w:lineRule="exact"/>
        <w:ind w:firstLine="5332" w:firstLineChars="1550"/>
        <w:textAlignment w:val="center"/>
        <w:rPr>
          <w:rFonts w:hint="eastAsia" w:eastAsia="方正仿宋_GBK"/>
          <w:snapToGrid w:val="0"/>
          <w:sz w:val="32"/>
          <w:szCs w:val="32"/>
        </w:rPr>
      </w:pPr>
      <w:r>
        <w:rPr>
          <w:rFonts w:hint="eastAsia" w:eastAsia="方正仿宋_GBK"/>
          <w:snapToGrid w:val="0"/>
          <w:spacing w:val="12"/>
          <w:sz w:val="32"/>
          <w:szCs w:val="32"/>
        </w:rPr>
        <w:t xml:space="preserve">政  治  工  作  </w:t>
      </w:r>
      <w:r>
        <w:rPr>
          <w:rFonts w:hint="eastAsia" w:eastAsia="方正仿宋_GBK"/>
          <w:snapToGrid w:val="0"/>
          <w:sz w:val="32"/>
          <w:szCs w:val="32"/>
        </w:rPr>
        <w:t>局</w:t>
      </w:r>
    </w:p>
    <w:p>
      <w:pPr>
        <w:adjustRightInd w:val="0"/>
        <w:snapToGrid w:val="0"/>
        <w:spacing w:line="590" w:lineRule="exact"/>
        <w:rPr>
          <w:rFonts w:hint="eastAsia" w:eastAsia="方正仿宋_GBK"/>
          <w:snapToGrid w:val="0"/>
          <w:color w:val="000000"/>
          <w:kern w:val="32"/>
          <w:sz w:val="32"/>
          <w:szCs w:val="32"/>
        </w:rPr>
      </w:pPr>
      <w:r>
        <w:rPr>
          <w:rFonts w:hint="eastAsia" w:eastAsia="方正仿宋_GBK"/>
          <w:snapToGrid w:val="0"/>
          <w:sz w:val="32"/>
          <w:szCs w:val="32"/>
        </w:rPr>
        <w:t xml:space="preserve">                </w:t>
      </w:r>
      <w:r>
        <w:rPr>
          <w:rFonts w:hint="eastAsia" w:eastAsia="方正仿宋_GBK"/>
          <w:snapToGrid w:val="0"/>
          <w:spacing w:val="20"/>
          <w:sz w:val="32"/>
          <w:szCs w:val="32"/>
        </w:rPr>
        <w:t xml:space="preserve"> </w:t>
      </w:r>
      <w:r>
        <w:rPr>
          <w:rFonts w:hint="eastAsia" w:eastAsia="方正仿宋_GBK"/>
          <w:snapToGrid w:val="0"/>
          <w:sz w:val="32"/>
          <w:szCs w:val="32"/>
        </w:rPr>
        <w:t xml:space="preserve">                  2022年4月21日</w:t>
      </w:r>
    </w:p>
    <w:p>
      <w:pPr>
        <w:adjustRightInd w:val="0"/>
        <w:snapToGrid w:val="0"/>
        <w:spacing w:line="54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广西壮族自治区退役士兵教育培训</w:t>
      </w:r>
    </w:p>
    <w:p>
      <w:pPr>
        <w:adjustRightInd w:val="0"/>
        <w:snapToGrid w:val="0"/>
        <w:spacing w:line="540" w:lineRule="exact"/>
        <w:jc w:val="center"/>
        <w:rPr>
          <w:rFonts w:hint="eastAsia" w:ascii="方正小标宋_GBK" w:eastAsia="方正小标宋_GBK"/>
          <w:snapToGrid w:val="0"/>
          <w:sz w:val="44"/>
          <w:szCs w:val="44"/>
        </w:rPr>
      </w:pPr>
      <w:r>
        <w:rPr>
          <w:rFonts w:hint="eastAsia" w:ascii="方正小标宋_GBK" w:eastAsia="方正小标宋_GBK"/>
          <w:snapToGrid w:val="0"/>
          <w:sz w:val="44"/>
          <w:szCs w:val="44"/>
        </w:rPr>
        <w:t>暂行办法</w:t>
      </w:r>
    </w:p>
    <w:p>
      <w:pPr>
        <w:adjustRightInd w:val="0"/>
        <w:snapToGrid w:val="0"/>
        <w:spacing w:line="540" w:lineRule="exact"/>
        <w:ind w:firstLine="640" w:firstLineChars="200"/>
        <w:rPr>
          <w:rFonts w:eastAsia="方正仿宋_GBK"/>
          <w:snapToGrid w:val="0"/>
          <w:sz w:val="32"/>
          <w:szCs w:val="32"/>
        </w:rPr>
      </w:pPr>
      <w:r>
        <w:rPr>
          <w:rFonts w:eastAsia="方正仿宋_GBK"/>
          <w:snapToGrid w:val="0"/>
          <w:sz w:val="32"/>
          <w:szCs w:val="32"/>
        </w:rPr>
        <w:t xml:space="preserve"> </w:t>
      </w:r>
    </w:p>
    <w:p>
      <w:pPr>
        <w:adjustRightInd w:val="0"/>
        <w:snapToGrid w:val="0"/>
        <w:spacing w:line="540" w:lineRule="exact"/>
        <w:jc w:val="center"/>
        <w:rPr>
          <w:rFonts w:hint="eastAsia" w:ascii="方正黑体_GBK" w:eastAsia="方正黑体_GBK"/>
          <w:snapToGrid w:val="0"/>
          <w:sz w:val="32"/>
          <w:szCs w:val="32"/>
        </w:rPr>
      </w:pPr>
      <w:r>
        <w:rPr>
          <w:rFonts w:hint="eastAsia" w:ascii="方正黑体_GBK" w:eastAsia="方正黑体_GBK"/>
          <w:snapToGrid w:val="0"/>
          <w:sz w:val="32"/>
          <w:szCs w:val="32"/>
        </w:rPr>
        <w:t>第一章　总  则</w:t>
      </w:r>
    </w:p>
    <w:p>
      <w:pPr>
        <w:adjustRightInd w:val="0"/>
        <w:snapToGrid w:val="0"/>
        <w:spacing w:line="540" w:lineRule="exact"/>
        <w:ind w:firstLine="640" w:firstLineChars="200"/>
        <w:rPr>
          <w:rFonts w:hint="eastAsia" w:ascii="方正黑体_GBK" w:eastAsia="方正黑体_GBK"/>
          <w:snapToGrid w:val="0"/>
          <w:sz w:val="32"/>
          <w:szCs w:val="32"/>
        </w:rPr>
      </w:pPr>
    </w:p>
    <w:p>
      <w:pPr>
        <w:adjustRightInd w:val="0"/>
        <w:snapToGrid w:val="0"/>
        <w:spacing w:line="540" w:lineRule="exact"/>
        <w:ind w:firstLine="640" w:firstLineChars="200"/>
        <w:rPr>
          <w:rFonts w:eastAsia="方正仿宋_GBK"/>
          <w:snapToGrid w:val="0"/>
          <w:sz w:val="32"/>
          <w:szCs w:val="32"/>
        </w:rPr>
      </w:pPr>
      <w:r>
        <w:rPr>
          <w:rFonts w:hint="eastAsia" w:ascii="方正黑体_GBK" w:eastAsia="方正黑体_GBK"/>
          <w:snapToGrid w:val="0"/>
          <w:sz w:val="32"/>
          <w:szCs w:val="32"/>
        </w:rPr>
        <w:t>第一条　</w:t>
      </w:r>
      <w:r>
        <w:rPr>
          <w:rFonts w:eastAsia="方正仿宋_GBK"/>
          <w:snapToGrid w:val="0"/>
          <w:sz w:val="32"/>
          <w:szCs w:val="32"/>
        </w:rPr>
        <w:t>为进一步规范我区退役士兵教育培训工作，帮助退役士兵完善知识结构，提高思想政治水平、职业技能水平和综合职业素养，提升就业创业竞争力，根据《中华人民共和国退役军人保障法》，以及其他有关规定，结合自治区实际，制定本办法。</w:t>
      </w:r>
    </w:p>
    <w:p>
      <w:pPr>
        <w:adjustRightInd w:val="0"/>
        <w:snapToGrid w:val="0"/>
        <w:spacing w:line="540" w:lineRule="exact"/>
        <w:ind w:firstLine="640" w:firstLineChars="200"/>
        <w:rPr>
          <w:rFonts w:eastAsia="方正仿宋_GBK"/>
          <w:snapToGrid w:val="0"/>
          <w:sz w:val="32"/>
          <w:szCs w:val="32"/>
        </w:rPr>
      </w:pPr>
      <w:r>
        <w:rPr>
          <w:rFonts w:hint="eastAsia" w:ascii="方正黑体_GBK" w:eastAsia="方正黑体_GBK"/>
          <w:snapToGrid w:val="0"/>
          <w:sz w:val="32"/>
          <w:szCs w:val="32"/>
        </w:rPr>
        <w:t>第二条　</w:t>
      </w:r>
      <w:r>
        <w:rPr>
          <w:rFonts w:eastAsia="方正仿宋_GBK"/>
          <w:snapToGrid w:val="0"/>
          <w:sz w:val="32"/>
          <w:szCs w:val="32"/>
        </w:rPr>
        <w:t>本办法适用于在本自治区行政区域内安置的退役士兵教育培训工作。</w:t>
      </w:r>
    </w:p>
    <w:p>
      <w:pPr>
        <w:adjustRightInd w:val="0"/>
        <w:snapToGrid w:val="0"/>
        <w:spacing w:line="540" w:lineRule="exact"/>
        <w:ind w:firstLine="640" w:firstLineChars="200"/>
        <w:rPr>
          <w:rFonts w:eastAsia="方正仿宋_GBK"/>
          <w:snapToGrid w:val="0"/>
          <w:sz w:val="32"/>
          <w:szCs w:val="32"/>
        </w:rPr>
      </w:pPr>
      <w:r>
        <w:rPr>
          <w:rFonts w:hint="eastAsia" w:ascii="方正黑体_GBK" w:eastAsia="方正黑体_GBK"/>
          <w:snapToGrid w:val="0"/>
          <w:sz w:val="32"/>
          <w:szCs w:val="32"/>
        </w:rPr>
        <w:t>第三条　</w:t>
      </w:r>
      <w:r>
        <w:rPr>
          <w:rFonts w:eastAsia="方正仿宋_GBK"/>
          <w:snapToGrid w:val="0"/>
          <w:sz w:val="32"/>
          <w:szCs w:val="32"/>
        </w:rPr>
        <w:t>本办法所称退役士兵教育培训，是指以提高退役士兵就业创业能力为目的，组织退役士兵参加的学历教育、适应性培训和职业技能培训。</w:t>
      </w:r>
    </w:p>
    <w:p>
      <w:pPr>
        <w:adjustRightInd w:val="0"/>
        <w:snapToGrid w:val="0"/>
        <w:spacing w:line="540" w:lineRule="exact"/>
        <w:ind w:firstLine="640" w:firstLineChars="200"/>
        <w:rPr>
          <w:rFonts w:eastAsia="方正仿宋_GBK"/>
          <w:snapToGrid w:val="0"/>
          <w:sz w:val="32"/>
          <w:szCs w:val="32"/>
        </w:rPr>
      </w:pPr>
      <w:r>
        <w:rPr>
          <w:rFonts w:hint="eastAsia" w:ascii="方正黑体_GBK" w:eastAsia="方正黑体_GBK"/>
          <w:snapToGrid w:val="0"/>
          <w:sz w:val="32"/>
          <w:szCs w:val="32"/>
        </w:rPr>
        <w:t>第四条　</w:t>
      </w:r>
      <w:r>
        <w:rPr>
          <w:rFonts w:eastAsia="方正仿宋_GBK"/>
          <w:snapToGrid w:val="0"/>
          <w:sz w:val="32"/>
          <w:szCs w:val="32"/>
        </w:rPr>
        <w:t>退役士兵教育培训坚持以下原则：</w:t>
      </w:r>
    </w:p>
    <w:p>
      <w:pPr>
        <w:adjustRightInd w:val="0"/>
        <w:snapToGrid w:val="0"/>
        <w:spacing w:line="540" w:lineRule="exact"/>
        <w:ind w:firstLine="640" w:firstLineChars="200"/>
        <w:rPr>
          <w:rFonts w:eastAsia="方正仿宋_GBK"/>
          <w:snapToGrid w:val="0"/>
          <w:sz w:val="32"/>
          <w:szCs w:val="32"/>
        </w:rPr>
      </w:pPr>
      <w:r>
        <w:rPr>
          <w:rFonts w:eastAsia="方正仿宋_GBK"/>
          <w:snapToGrid w:val="0"/>
          <w:sz w:val="32"/>
          <w:szCs w:val="32"/>
        </w:rPr>
        <w:t>（一）政府推动，统筹保障；</w:t>
      </w:r>
    </w:p>
    <w:p>
      <w:pPr>
        <w:adjustRightInd w:val="0"/>
        <w:snapToGrid w:val="0"/>
        <w:spacing w:line="540" w:lineRule="exact"/>
        <w:ind w:firstLine="640" w:firstLineChars="200"/>
        <w:rPr>
          <w:rFonts w:eastAsia="方正仿宋_GBK"/>
          <w:snapToGrid w:val="0"/>
          <w:sz w:val="32"/>
          <w:szCs w:val="32"/>
        </w:rPr>
      </w:pPr>
      <w:r>
        <w:rPr>
          <w:rFonts w:eastAsia="方正仿宋_GBK"/>
          <w:snapToGrid w:val="0"/>
          <w:sz w:val="32"/>
          <w:szCs w:val="32"/>
        </w:rPr>
        <w:t>（二）需求牵引，促进就业；</w:t>
      </w:r>
    </w:p>
    <w:p>
      <w:pPr>
        <w:adjustRightInd w:val="0"/>
        <w:snapToGrid w:val="0"/>
        <w:spacing w:line="540" w:lineRule="exact"/>
        <w:ind w:firstLine="640" w:firstLineChars="200"/>
        <w:rPr>
          <w:rFonts w:eastAsia="方正仿宋_GBK"/>
          <w:snapToGrid w:val="0"/>
          <w:sz w:val="32"/>
          <w:szCs w:val="32"/>
        </w:rPr>
      </w:pPr>
      <w:r>
        <w:rPr>
          <w:rFonts w:eastAsia="方正仿宋_GBK"/>
          <w:snapToGrid w:val="0"/>
          <w:sz w:val="32"/>
          <w:szCs w:val="32"/>
        </w:rPr>
        <w:t>（三）自愿参加，自选专业；</w:t>
      </w:r>
    </w:p>
    <w:p>
      <w:pPr>
        <w:adjustRightInd w:val="0"/>
        <w:snapToGrid w:val="0"/>
        <w:spacing w:line="540" w:lineRule="exact"/>
        <w:ind w:firstLine="640" w:firstLineChars="200"/>
        <w:rPr>
          <w:rFonts w:eastAsia="方正仿宋_GBK"/>
          <w:snapToGrid w:val="0"/>
          <w:sz w:val="32"/>
          <w:szCs w:val="32"/>
        </w:rPr>
      </w:pPr>
      <w:r>
        <w:rPr>
          <w:rFonts w:eastAsia="方正仿宋_GBK"/>
          <w:snapToGrid w:val="0"/>
          <w:sz w:val="32"/>
          <w:szCs w:val="32"/>
        </w:rPr>
        <w:t>（四）属地管理，统筹安排。</w:t>
      </w:r>
    </w:p>
    <w:p>
      <w:pPr>
        <w:pStyle w:val="21"/>
        <w:autoSpaceDE/>
        <w:autoSpaceDN/>
        <w:snapToGrid w:val="0"/>
        <w:spacing w:line="540" w:lineRule="exact"/>
        <w:ind w:firstLine="640" w:firstLineChars="200"/>
        <w:jc w:val="both"/>
        <w:rPr>
          <w:rFonts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 xml:space="preserve"> </w:t>
      </w:r>
    </w:p>
    <w:p>
      <w:pPr>
        <w:adjustRightInd w:val="0"/>
        <w:snapToGrid w:val="0"/>
        <w:spacing w:line="540" w:lineRule="exact"/>
        <w:jc w:val="center"/>
        <w:rPr>
          <w:rFonts w:ascii="方正黑体_GBK" w:eastAsia="方正黑体_GBK"/>
          <w:snapToGrid w:val="0"/>
          <w:sz w:val="32"/>
          <w:szCs w:val="32"/>
        </w:rPr>
      </w:pPr>
      <w:r>
        <w:rPr>
          <w:rFonts w:hint="eastAsia" w:ascii="方正黑体_GBK" w:eastAsia="方正黑体_GBK"/>
          <w:snapToGrid w:val="0"/>
          <w:sz w:val="32"/>
          <w:szCs w:val="32"/>
        </w:rPr>
        <w:t>第二章　</w:t>
      </w:r>
      <w:r>
        <w:rPr>
          <w:rFonts w:ascii="方正黑体_GBK" w:eastAsia="方正黑体_GBK"/>
          <w:snapToGrid w:val="0"/>
          <w:sz w:val="32"/>
          <w:szCs w:val="32"/>
        </w:rPr>
        <w:t>部门职责</w:t>
      </w:r>
    </w:p>
    <w:p>
      <w:pPr>
        <w:adjustRightInd w:val="0"/>
        <w:snapToGrid w:val="0"/>
        <w:spacing w:line="544" w:lineRule="exact"/>
        <w:ind w:firstLine="640" w:firstLineChars="200"/>
        <w:rPr>
          <w:rFonts w:hint="eastAsia" w:ascii="方正黑体_GBK" w:eastAsia="方正黑体_GBK"/>
          <w:snapToGrid w:val="0"/>
          <w:sz w:val="32"/>
          <w:szCs w:val="32"/>
        </w:rPr>
      </w:pP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第五条　</w:t>
      </w:r>
      <w:r>
        <w:rPr>
          <w:rFonts w:eastAsia="方正仿宋_GBK"/>
          <w:snapToGrid w:val="0"/>
          <w:sz w:val="32"/>
          <w:szCs w:val="32"/>
        </w:rPr>
        <w:t>退役军人事务部门履行以下职责：</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（一）开展退役士兵教育培训政策宣传，加强退役士兵就业创业形势教育；</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（二）制定退役士兵教育培训计划，组织实施退役士兵教育培训；</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（三）做好退役士兵教育培训意愿和需求统计，向同级财政部门提出本级退役士兵教育培训需求计划、绩效目标和资金分配方案，统筹做好经费保障工作；</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（四）开展教育培训院校（机构）确定、考评工作，指导教育培训院校（机构）做好教学管理工作；</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（五）负责退役士兵教育培训的统计和资格审查；</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（六）开展退役士兵教育培训工作的指导、监督和考核；</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（七）对有教育培训需求的现役军人所在部队开展教育培训提供支持和协助；</w:t>
      </w:r>
    </w:p>
    <w:p>
      <w:pPr>
        <w:adjustRightInd w:val="0"/>
        <w:snapToGrid w:val="0"/>
        <w:spacing w:line="590" w:lineRule="exact"/>
        <w:ind w:firstLine="640"/>
        <w:rPr>
          <w:rFonts w:eastAsia="方正仿宋_GBK"/>
          <w:snapToGrid w:val="0"/>
          <w:sz w:val="32"/>
          <w:szCs w:val="32"/>
        </w:rPr>
      </w:pPr>
      <w:r>
        <w:rPr>
          <w:rFonts w:hint="eastAsia" w:eastAsia="方正仿宋_GBK"/>
          <w:snapToGrid w:val="0"/>
          <w:sz w:val="32"/>
          <w:szCs w:val="32"/>
        </w:rPr>
        <w:t>（八）</w:t>
      </w:r>
      <w:r>
        <w:rPr>
          <w:rFonts w:eastAsia="方正仿宋_GBK"/>
          <w:snapToGrid w:val="0"/>
          <w:sz w:val="32"/>
          <w:szCs w:val="32"/>
        </w:rPr>
        <w:t>对退役士兵教育培训资金安排使用情况进行监督管理，适时开展资金监督检查。</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第六条　</w:t>
      </w:r>
      <w:r>
        <w:rPr>
          <w:rFonts w:eastAsia="方正仿宋_GBK"/>
          <w:snapToGrid w:val="0"/>
          <w:sz w:val="32"/>
          <w:szCs w:val="32"/>
        </w:rPr>
        <w:t>教育部门履行以下职责：</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（一）支持鼓励退役士兵参加学历教育，提升学历；</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（二）推荐承担退役士兵教育培训的院校；</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（三）指导院校做好退役士兵教育培训、招生、教学管理、就业推荐等工作；</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（四）做好退役士兵参加学历教育报名、录取、入学、学费减免、奖助学金申请等数据统计和资金下达工作；</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（五）协助退役军人事务部门开展退役入学复学的退役士兵适应性培训和职业技能培训工作；</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（六）对高等学校及中等职业学校退役士兵教育培训工作开展督导和评估。</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第七条　</w:t>
      </w:r>
      <w:r>
        <w:rPr>
          <w:rFonts w:eastAsia="方正仿宋_GBK"/>
          <w:snapToGrid w:val="0"/>
          <w:sz w:val="32"/>
          <w:szCs w:val="32"/>
        </w:rPr>
        <w:t>人力资源社会保障部门履行以下职责：</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（一）在自治区数据共享平台发布具备合法资质的民办职业技能培训机构目录，将经备案的培训机构纳入广西职业培训机构目录；</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（二）指导培训机构做好退役士兵入学、教学管理和就业推荐工作；指导职业技能鉴定、评价机构做好退役士兵职业技能鉴定和评价工作；</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（三）按规定为退役士兵学员提供公共就业服务；</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（四）组织有技能提升需求和培训、就业意愿退役士兵开展岗位技能提升培训和就业创业培训；</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（五）配合开展退役士兵教育培训工作督导和评估。</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第八条　</w:t>
      </w:r>
      <w:r>
        <w:rPr>
          <w:rFonts w:eastAsia="方正仿宋_GBK"/>
          <w:snapToGrid w:val="0"/>
          <w:sz w:val="32"/>
          <w:szCs w:val="32"/>
        </w:rPr>
        <w:t>财政部门履行以下职责：</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（一）配合退役军人事务部门、教育部门、人力资源社会保障部门筹措教育培训经费，并按时分配下达相关教育培训资金；</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（二）加强全面预算绩效管理，配合退役军人事务部门、教育部门、人力资源社会保障部门做好退役士兵教育培训经费的监督管理。</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第九条　</w:t>
      </w:r>
      <w:r>
        <w:rPr>
          <w:rFonts w:eastAsia="方正仿宋_GBK"/>
          <w:snapToGrid w:val="0"/>
          <w:sz w:val="32"/>
          <w:szCs w:val="32"/>
        </w:rPr>
        <w:t>军队有关部门负责组织实施士兵服役期间继续教育、离队前教育和退役后教育培训档案材料移交等工作。</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 xml:space="preserve"> </w:t>
      </w:r>
    </w:p>
    <w:p>
      <w:pPr>
        <w:adjustRightInd w:val="0"/>
        <w:snapToGrid w:val="0"/>
        <w:spacing w:line="590" w:lineRule="exact"/>
        <w:jc w:val="center"/>
        <w:rPr>
          <w:rFonts w:hint="eastAsia" w:ascii="方正黑体_GBK" w:eastAsia="方正黑体_GBK"/>
          <w:snapToGrid w:val="0"/>
          <w:sz w:val="32"/>
          <w:szCs w:val="32"/>
        </w:rPr>
      </w:pPr>
      <w:r>
        <w:rPr>
          <w:rFonts w:hint="eastAsia" w:ascii="方正黑体_GBK" w:eastAsia="方正黑体_GBK"/>
          <w:snapToGrid w:val="0"/>
          <w:sz w:val="32"/>
          <w:szCs w:val="32"/>
        </w:rPr>
        <w:t>第三章　教育培训内容</w:t>
      </w:r>
    </w:p>
    <w:p>
      <w:pPr>
        <w:adjustRightInd w:val="0"/>
        <w:snapToGrid w:val="0"/>
        <w:spacing w:line="590" w:lineRule="exact"/>
        <w:ind w:firstLine="640" w:firstLineChars="200"/>
        <w:rPr>
          <w:rFonts w:hint="eastAsia" w:ascii="方正黑体_GBK" w:eastAsia="方正黑体_GBK"/>
          <w:snapToGrid w:val="0"/>
          <w:sz w:val="32"/>
          <w:szCs w:val="32"/>
        </w:rPr>
      </w:pP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第十条　</w:t>
      </w:r>
      <w:r>
        <w:rPr>
          <w:rFonts w:eastAsia="方正仿宋_GBK"/>
          <w:snapToGrid w:val="0"/>
          <w:sz w:val="32"/>
          <w:szCs w:val="32"/>
        </w:rPr>
        <w:t>面向驻地部队即将退役的士兵，配合驻地部队按需开展送岗位进军营、送技能进军营、送职业规划进军营、送政策进军营等活动，宣讲政策形势，加强择业指导，实现行政区域内有培训需求的驻军单位基本覆盖。</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第十一条　</w:t>
      </w:r>
      <w:r>
        <w:rPr>
          <w:rFonts w:eastAsia="方正仿宋_GBK"/>
          <w:snapToGrid w:val="0"/>
          <w:sz w:val="32"/>
          <w:szCs w:val="32"/>
        </w:rPr>
        <w:t>面向年度自主就业退役士兵开展适应性培训，帮助其尽快转变角色融入社会。</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培训由设区市退役军人事务部门结合实际统筹组织，在自主就业退役士兵返乡报到后及时实施。培训时长不少于80学时，其中线下40学时，线上40学时。</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培训内容为思想政治教育、革命传统教育、保密教育、国家安全教育、政策宣讲、国情区情、角色转换与心理调适、职业规划、法律法规、就业创业意识培养等。</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培训采用“互联网＋培训”等多种教学手段，结合返乡欢迎会、就业推荐、职业培训项目推介、移动课堂等形式，灵活安排教学，定期开展培训评估，确保教学效果。</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第十二条　</w:t>
      </w:r>
      <w:r>
        <w:rPr>
          <w:rFonts w:eastAsia="方正仿宋_GBK"/>
          <w:snapToGrid w:val="0"/>
          <w:sz w:val="32"/>
          <w:szCs w:val="32"/>
        </w:rPr>
        <w:t>自主就业退役士兵可在达到法定退休年龄前接受一次免费职业技能培训。有意愿参加培训的自主就业退役士兵，向安置地退役军人事务主管部门提出申请，批准同意后，可在自治区退役军人厅公布的职业技能培训机构目录和专业目录内选择任意一家机构，接受培训，享受包干限额补助待遇；也可以参加退役军人事务部门组织的免费培训。</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职业技能培训应以提高就业质量为导向，围绕市场就业需求，结合自主就业退役士兵个性化意愿和当地产业发展，组织开展直通车式就业培训，由企业、培训机构与安置地退役军人事务部门签订接收就业意向协议后组织实施。</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安置地退役军人事务部门应依托广西退役军人就业创业培训网，建立自主就业退役士兵培训台账，加强对参训人员和培训经费管理。依托职业技能等级证书目录、职业技能培训机构目录中的机构，实施学历证书＋若干职业技能等级证书制度（1＋X证书制度）和学分银行制度。</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第十三条　</w:t>
      </w:r>
      <w:r>
        <w:rPr>
          <w:rFonts w:eastAsia="方正仿宋_GBK"/>
          <w:snapToGrid w:val="0"/>
          <w:sz w:val="32"/>
          <w:szCs w:val="32"/>
        </w:rPr>
        <w:t>围绕服务乡村振兴、打造“双创”升级版等国家战略，面向有创业要求和培训愿望、具备一定创业条件的退役士兵开展创业培训。</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第十四条　</w:t>
      </w:r>
      <w:r>
        <w:rPr>
          <w:rFonts w:eastAsia="方正仿宋_GBK"/>
          <w:snapToGrid w:val="0"/>
          <w:sz w:val="32"/>
          <w:szCs w:val="32"/>
        </w:rPr>
        <w:t>士兵退役后，可通过普通高考、退役军人单独招生考试、专升本、研究生考试，以及成人教育、开放教育和自学考试等学历继续教育，提升学历层次。</w:t>
      </w:r>
    </w:p>
    <w:p>
      <w:pPr>
        <w:pStyle w:val="21"/>
        <w:autoSpaceDE/>
        <w:autoSpaceDN/>
        <w:snapToGrid w:val="0"/>
        <w:spacing w:line="590" w:lineRule="exact"/>
        <w:ind w:firstLine="640" w:firstLineChars="200"/>
        <w:jc w:val="both"/>
        <w:rPr>
          <w:rFonts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符合报考条件的退役士兵可申请免试就读所在省（区、市）的成人高校专升本。</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自主就业退役士兵参加全国普通高考、全国成人高考，加10分。退役士兵参加高职（专科）、专升本学历提升专项行动的，实行自愿报名、单列计划、单独招生，免文化素质考试；达到硕士研究生考试报考条件，3年内参加全国硕士研究生招生考试的，初试总分加10分，在部队荣立二等功及以上、符合研究生报名条件的，可申请免初试攻读硕士研究生。</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对通过全国统一高考或高职分类招考方式考入普通高等学校的全日制在校自主就业退役士兵学生实行学费减免，减免最高限额按规定标准执行。</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全日制在校退役士兵学生全部享受本专科生国家助学金。资助标准按规定标准执行。</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第十五条　</w:t>
      </w:r>
      <w:r>
        <w:rPr>
          <w:rFonts w:eastAsia="方正仿宋_GBK"/>
          <w:snapToGrid w:val="0"/>
          <w:sz w:val="32"/>
          <w:szCs w:val="32"/>
        </w:rPr>
        <w:t>将退役士兵培训纳入国家终身职业技能培训制度体系。以职业素养提升、技术更新、技能等级晋升为培养目标，鼓励用人单位定期组织退役士兵参加岗位技能提升和知识更新培训，拓展职业上升空间。</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第十六条　</w:t>
      </w:r>
      <w:r>
        <w:rPr>
          <w:rFonts w:eastAsia="方正仿宋_GBK"/>
          <w:snapToGrid w:val="0"/>
          <w:sz w:val="32"/>
          <w:szCs w:val="32"/>
        </w:rPr>
        <w:t>依托广西退役军人就业创业培训网，开设八桂网络学堂，提供线上不间断免费培训服务。</w:t>
      </w:r>
    </w:p>
    <w:p>
      <w:pPr>
        <w:pStyle w:val="21"/>
        <w:autoSpaceDE/>
        <w:autoSpaceDN/>
        <w:snapToGrid w:val="0"/>
        <w:spacing w:line="590" w:lineRule="exact"/>
        <w:ind w:firstLine="640" w:firstLineChars="200"/>
        <w:jc w:val="both"/>
        <w:rPr>
          <w:rFonts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 xml:space="preserve"> </w:t>
      </w:r>
    </w:p>
    <w:p>
      <w:pPr>
        <w:adjustRightInd w:val="0"/>
        <w:snapToGrid w:val="0"/>
        <w:spacing w:line="590" w:lineRule="exact"/>
        <w:jc w:val="center"/>
        <w:rPr>
          <w:rFonts w:ascii="方正黑体_GBK" w:eastAsia="方正黑体_GBK"/>
          <w:snapToGrid w:val="0"/>
          <w:sz w:val="32"/>
          <w:szCs w:val="32"/>
        </w:rPr>
      </w:pPr>
      <w:r>
        <w:rPr>
          <w:rFonts w:hint="eastAsia" w:ascii="方正黑体_GBK" w:eastAsia="方正黑体_GBK"/>
          <w:snapToGrid w:val="0"/>
          <w:sz w:val="32"/>
          <w:szCs w:val="32"/>
        </w:rPr>
        <w:t>第四章　</w:t>
      </w:r>
      <w:r>
        <w:rPr>
          <w:rFonts w:ascii="方正黑体_GBK" w:eastAsia="方正黑体_GBK"/>
          <w:snapToGrid w:val="0"/>
          <w:sz w:val="32"/>
          <w:szCs w:val="32"/>
        </w:rPr>
        <w:t>教育培训经费</w:t>
      </w:r>
    </w:p>
    <w:p>
      <w:pPr>
        <w:adjustRightInd w:val="0"/>
        <w:snapToGrid w:val="0"/>
        <w:spacing w:line="590" w:lineRule="exact"/>
        <w:ind w:firstLine="640" w:firstLineChars="200"/>
        <w:rPr>
          <w:rFonts w:hint="eastAsia" w:ascii="方正黑体_GBK" w:eastAsia="方正黑体_GBK"/>
          <w:snapToGrid w:val="0"/>
          <w:sz w:val="32"/>
          <w:szCs w:val="32"/>
        </w:rPr>
      </w:pP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第十七条　</w:t>
      </w:r>
      <w:r>
        <w:rPr>
          <w:rFonts w:eastAsia="方正仿宋_GBK"/>
          <w:snapToGrid w:val="0"/>
          <w:sz w:val="32"/>
          <w:szCs w:val="32"/>
        </w:rPr>
        <w:t>自治区统筹中央和本级预算安排的补助资金，根据退役军人事务部门审核汇总的设区市上一年度实际参加培训的退役士兵人数，结算下达补助资金。设区市结合上级财政补助资金，根据有关政策规定，由退役军人事务部门审核汇总参加培训的退役士兵人次和经费开支情况，商财政部门科学合理安排使用培训经费。</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第十八条　</w:t>
      </w:r>
      <w:r>
        <w:rPr>
          <w:rFonts w:eastAsia="方正仿宋_GBK"/>
          <w:snapToGrid w:val="0"/>
          <w:sz w:val="32"/>
          <w:szCs w:val="32"/>
        </w:rPr>
        <w:t>退役士兵培训经费主要用于自主就业退役士兵免费参加一次职业技能培训和适应性培训所需经费。</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自主就业退役士兵自选（含异地）参加职业技能培训所需学</w:t>
      </w:r>
      <w:r>
        <w:rPr>
          <w:rFonts w:eastAsia="方正仿宋_GBK"/>
          <w:snapToGrid w:val="0"/>
          <w:spacing w:val="6"/>
          <w:sz w:val="32"/>
          <w:szCs w:val="32"/>
        </w:rPr>
        <w:t>杂费、住宿费、职业技能鉴定费以及生活补贴等，享受限额包干补助待遇，由设区市退役军人事务部门根据实际情况，会同本级财政部门制定经费标准。自主就业退役士兵参加退役军人事务部门组织的职业技能培训，享受免费培训，培训费用参考市场标准，综合考虑本地区食宿、技能鉴定、保险、教材教辅费用等因素，由退役军人事务部门与承训机构签订协议，按协议费用执行</w:t>
      </w:r>
      <w:r>
        <w:rPr>
          <w:rFonts w:eastAsia="方正仿宋_GBK"/>
          <w:snapToGrid w:val="0"/>
          <w:sz w:val="32"/>
          <w:szCs w:val="32"/>
        </w:rPr>
        <w:t>。</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自主就业退役士兵参加适应性培训所需经费，从各级退役士兵职业技能培训补助资金中统筹支出。费用标准按1100元/人的标准执行，其中900元用于线下培训、200元用于线上培训。</w:t>
      </w:r>
    </w:p>
    <w:p>
      <w:pPr>
        <w:pStyle w:val="21"/>
        <w:autoSpaceDE/>
        <w:autoSpaceDN/>
        <w:snapToGrid w:val="0"/>
        <w:spacing w:line="590" w:lineRule="exact"/>
        <w:ind w:firstLine="640" w:firstLineChars="200"/>
        <w:jc w:val="both"/>
        <w:rPr>
          <w:rFonts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退役士兵学历教育所享受的学费减免、学费补偿、学费代偿，以及助奖学金等经费，按国家和自治区有关规定执行。</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退役士兵参加人力资源社会保障部门组织的创业培训和就业技能培训，按规定享受培训补贴，所需经费从人力资源社会保障部门相关培训资金中列支。</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第十九条　</w:t>
      </w:r>
      <w:r>
        <w:rPr>
          <w:rFonts w:eastAsia="方正仿宋_GBK"/>
          <w:snapToGrid w:val="0"/>
          <w:sz w:val="32"/>
          <w:szCs w:val="32"/>
        </w:rPr>
        <w:t>设区市退役军人事务部门、财政部门应当根据开展培训工作内容，制定培训补助资金申请和拨付程序，并根据参加培训退役士兵实际人数、培训阶段、学习效果、就业情况等因素实施绩效考评，采取一次性或分阶段、分比例的方式将培训费用拨付给承训机构。</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退役军人事务部门在自治区公布的退役军人职业技能培训机构大黄页内，委托培训机构开展的订单式、定岗式项目制培训，需委托方与受委托方签署委托协议，委托方根据协议，按照培训完成情况和自主就业退役士兵劳动合同（就业意向）签订情况向受委托方支付培训经费。</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第二十条　</w:t>
      </w:r>
      <w:r>
        <w:rPr>
          <w:rFonts w:eastAsia="方正仿宋_GBK"/>
          <w:snapToGrid w:val="0"/>
          <w:sz w:val="32"/>
          <w:szCs w:val="32"/>
        </w:rPr>
        <w:t>退役士兵教育培训经费的使用必须坚持专款专用、科学管理、强化监督的原则，严格按规定的范围、标准和程序使用，确保资金使用安全、规范、高效。各级退役军人事务部门应当会同有关部门建立健全退役士兵培训经费资金监督管理制度。各项培训经费均按照预算管理有关规定拨付，落实资金使用管理台账和定期公开等制度。培训经费结余事项按中央和自治区盘活财政存量资金有关规定办理。</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设区市退役军人事务部门应加快培训资金支出进度，按季度统计培训经费使用情况，并于当年4月、7月、10月以及次年1月15日前报送培训经费资金执行进度情况。</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年度培训工作任务结束后，设区市退役军人事务部门要开展</w:t>
      </w:r>
      <w:r>
        <w:rPr>
          <w:rFonts w:eastAsia="方正仿宋_GBK"/>
          <w:snapToGrid w:val="0"/>
          <w:spacing w:val="6"/>
          <w:sz w:val="32"/>
          <w:szCs w:val="32"/>
        </w:rPr>
        <w:t>退役士兵教育培训预算资金绩效自评工作，并于每年3月1日前将上年度培训经费使用情况、自评情况报告上报自治区退役军人</w:t>
      </w:r>
      <w:r>
        <w:rPr>
          <w:rFonts w:eastAsia="方正仿宋_GBK"/>
          <w:snapToGrid w:val="0"/>
          <w:sz w:val="32"/>
          <w:szCs w:val="32"/>
        </w:rPr>
        <w:t>厅。</w:t>
      </w:r>
    </w:p>
    <w:p>
      <w:pPr>
        <w:adjustRightInd w:val="0"/>
        <w:snapToGrid w:val="0"/>
        <w:spacing w:line="620" w:lineRule="exact"/>
        <w:ind w:firstLine="640" w:firstLineChars="200"/>
        <w:rPr>
          <w:rFonts w:eastAsia="方正仿宋_GBK"/>
          <w:snapToGrid w:val="0"/>
          <w:sz w:val="32"/>
          <w:szCs w:val="32"/>
        </w:rPr>
      </w:pPr>
      <w:r>
        <w:rPr>
          <w:rFonts w:eastAsia="方正仿宋_GBK"/>
          <w:snapToGrid w:val="0"/>
          <w:sz w:val="32"/>
          <w:szCs w:val="32"/>
        </w:rPr>
        <w:t xml:space="preserve"> </w:t>
      </w:r>
    </w:p>
    <w:p>
      <w:pPr>
        <w:adjustRightInd w:val="0"/>
        <w:snapToGrid w:val="0"/>
        <w:spacing w:line="620" w:lineRule="exact"/>
        <w:jc w:val="center"/>
        <w:rPr>
          <w:rFonts w:ascii="方正黑体_GBK" w:eastAsia="方正黑体_GBK"/>
          <w:snapToGrid w:val="0"/>
          <w:sz w:val="32"/>
          <w:szCs w:val="32"/>
        </w:rPr>
      </w:pPr>
      <w:r>
        <w:rPr>
          <w:rFonts w:hint="eastAsia" w:ascii="方正黑体_GBK" w:eastAsia="方正黑体_GBK"/>
          <w:snapToGrid w:val="0"/>
          <w:sz w:val="32"/>
          <w:szCs w:val="32"/>
        </w:rPr>
        <w:t>第五章　</w:t>
      </w:r>
      <w:r>
        <w:rPr>
          <w:rFonts w:ascii="方正黑体_GBK" w:eastAsia="方正黑体_GBK"/>
          <w:snapToGrid w:val="0"/>
          <w:sz w:val="32"/>
          <w:szCs w:val="32"/>
        </w:rPr>
        <w:t>异地培训</w:t>
      </w:r>
    </w:p>
    <w:p>
      <w:pPr>
        <w:shd w:val="clear" w:color="auto" w:fill="FFFFFF"/>
        <w:adjustRightInd w:val="0"/>
        <w:snapToGrid w:val="0"/>
        <w:spacing w:line="620" w:lineRule="exact"/>
        <w:ind w:firstLine="640" w:firstLineChars="200"/>
        <w:rPr>
          <w:rFonts w:hint="eastAsia" w:ascii="方正黑体_GBK" w:eastAsia="方正黑体_GBK"/>
          <w:snapToGrid w:val="0"/>
          <w:sz w:val="32"/>
          <w:szCs w:val="32"/>
        </w:rPr>
      </w:pPr>
    </w:p>
    <w:p>
      <w:pPr>
        <w:shd w:val="clear" w:color="auto" w:fill="FFFFFF"/>
        <w:adjustRightInd w:val="0"/>
        <w:snapToGrid w:val="0"/>
        <w:spacing w:line="620" w:lineRule="exact"/>
        <w:ind w:firstLine="640" w:firstLineChars="200"/>
        <w:rPr>
          <w:rFonts w:eastAsia="方正仿宋_GBK"/>
          <w:snapToGrid w:val="0"/>
          <w:sz w:val="32"/>
          <w:szCs w:val="32"/>
        </w:rPr>
      </w:pPr>
      <w:r>
        <w:rPr>
          <w:rFonts w:hint="eastAsia" w:ascii="方正黑体_GBK" w:eastAsia="方正黑体_GBK"/>
          <w:snapToGrid w:val="0"/>
          <w:sz w:val="32"/>
          <w:szCs w:val="32"/>
        </w:rPr>
        <w:t>第二十一条　</w:t>
      </w:r>
      <w:r>
        <w:rPr>
          <w:rFonts w:eastAsia="方正仿宋_GBK"/>
          <w:snapToGrid w:val="0"/>
          <w:sz w:val="32"/>
          <w:szCs w:val="32"/>
        </w:rPr>
        <w:t>自主就业退役士兵申请异地培训的培训机构和专业，需由自治区或设区市退役军人事务部门认定，并纳入广西退役军人就业创业培训网管理的培训机构和专业，同时需满足以下条件之一：</w:t>
      </w:r>
    </w:p>
    <w:p>
      <w:pPr>
        <w:adjustRightInd w:val="0"/>
        <w:snapToGrid w:val="0"/>
        <w:spacing w:line="620" w:lineRule="exact"/>
        <w:ind w:firstLine="640" w:firstLineChars="200"/>
        <w:rPr>
          <w:rFonts w:eastAsia="方正仿宋_GBK"/>
          <w:snapToGrid w:val="0"/>
          <w:sz w:val="32"/>
          <w:szCs w:val="32"/>
        </w:rPr>
      </w:pPr>
      <w:r>
        <w:rPr>
          <w:rFonts w:eastAsia="方正仿宋_GBK"/>
          <w:snapToGrid w:val="0"/>
          <w:sz w:val="32"/>
          <w:szCs w:val="32"/>
        </w:rPr>
        <w:t>（一）申请异地培训的自主就业退役士兵，工作、学习和生活基础不在安置地的。</w:t>
      </w:r>
    </w:p>
    <w:p>
      <w:pPr>
        <w:adjustRightInd w:val="0"/>
        <w:snapToGrid w:val="0"/>
        <w:spacing w:line="620" w:lineRule="exact"/>
        <w:ind w:firstLine="640" w:firstLineChars="200"/>
        <w:rPr>
          <w:rFonts w:eastAsia="方正仿宋_GBK"/>
          <w:snapToGrid w:val="0"/>
          <w:sz w:val="32"/>
          <w:szCs w:val="32"/>
        </w:rPr>
      </w:pPr>
      <w:r>
        <w:rPr>
          <w:rFonts w:eastAsia="方正仿宋_GBK"/>
          <w:snapToGrid w:val="0"/>
          <w:sz w:val="32"/>
          <w:szCs w:val="32"/>
        </w:rPr>
        <w:t>（二）安置地退役军人事务部门提供的职业技能培训专业，无法满足退役士兵培训需求的。</w:t>
      </w:r>
    </w:p>
    <w:p>
      <w:pPr>
        <w:adjustRightInd w:val="0"/>
        <w:snapToGrid w:val="0"/>
        <w:spacing w:line="620" w:lineRule="exact"/>
        <w:ind w:firstLine="640" w:firstLineChars="200"/>
        <w:rPr>
          <w:rFonts w:eastAsia="方正仿宋_GBK"/>
          <w:snapToGrid w:val="0"/>
          <w:sz w:val="32"/>
          <w:szCs w:val="32"/>
        </w:rPr>
      </w:pPr>
      <w:r>
        <w:rPr>
          <w:rFonts w:eastAsia="方正仿宋_GBK"/>
          <w:snapToGrid w:val="0"/>
          <w:sz w:val="32"/>
          <w:szCs w:val="32"/>
        </w:rPr>
        <w:t>（三）自治区退役军人厅、设区市退役军人事务局委托培训机构组织的项目制培训，退役士兵需跨区域参加的。</w:t>
      </w:r>
    </w:p>
    <w:p>
      <w:pPr>
        <w:adjustRightInd w:val="0"/>
        <w:snapToGrid w:val="0"/>
        <w:spacing w:line="620" w:lineRule="exact"/>
        <w:ind w:firstLine="640" w:firstLineChars="200"/>
        <w:rPr>
          <w:rFonts w:eastAsia="方正仿宋_GBK"/>
          <w:snapToGrid w:val="0"/>
          <w:sz w:val="32"/>
          <w:szCs w:val="32"/>
        </w:rPr>
      </w:pPr>
      <w:r>
        <w:rPr>
          <w:rFonts w:hint="eastAsia" w:ascii="方正黑体_GBK" w:eastAsia="方正黑体_GBK"/>
          <w:snapToGrid w:val="0"/>
          <w:sz w:val="32"/>
          <w:szCs w:val="32"/>
        </w:rPr>
        <w:t>第二十二条　</w:t>
      </w:r>
      <w:r>
        <w:rPr>
          <w:rFonts w:eastAsia="方正仿宋_GBK"/>
          <w:snapToGrid w:val="0"/>
          <w:sz w:val="32"/>
          <w:szCs w:val="32"/>
        </w:rPr>
        <w:t>异地培训申请和管理按照以下规定执行：</w:t>
      </w:r>
    </w:p>
    <w:p>
      <w:pPr>
        <w:adjustRightInd w:val="0"/>
        <w:snapToGrid w:val="0"/>
        <w:spacing w:line="620" w:lineRule="exact"/>
        <w:ind w:firstLine="640" w:firstLineChars="200"/>
        <w:rPr>
          <w:rFonts w:eastAsia="方正仿宋_GBK"/>
          <w:snapToGrid w:val="0"/>
          <w:sz w:val="32"/>
          <w:szCs w:val="32"/>
        </w:rPr>
      </w:pPr>
      <w:r>
        <w:rPr>
          <w:rFonts w:eastAsia="方正仿宋_GBK"/>
          <w:snapToGrid w:val="0"/>
          <w:sz w:val="32"/>
          <w:szCs w:val="32"/>
        </w:rPr>
        <w:t>（一）申请区内异地职业技能培训条件的自主就业退役士兵，在广西退役军人就业创业培训网下载填写《广西退役军人参加异地职业技能培训申请表》。</w:t>
      </w:r>
    </w:p>
    <w:p>
      <w:pPr>
        <w:adjustRightInd w:val="0"/>
        <w:snapToGrid w:val="0"/>
        <w:spacing w:line="620" w:lineRule="exact"/>
        <w:ind w:firstLine="640" w:firstLineChars="200"/>
        <w:rPr>
          <w:rFonts w:eastAsia="方正仿宋_GBK"/>
          <w:snapToGrid w:val="0"/>
          <w:sz w:val="32"/>
          <w:szCs w:val="32"/>
        </w:rPr>
      </w:pPr>
      <w:r>
        <w:rPr>
          <w:rFonts w:eastAsia="方正仿宋_GBK"/>
          <w:snapToGrid w:val="0"/>
          <w:sz w:val="32"/>
          <w:szCs w:val="32"/>
        </w:rPr>
        <w:t>（二）安置地退役军人事务部门收到自主就业退役士兵异地培训申请后，根据本地职业技能培训有关政策，于10个工作日内作出审核，并通知自主就业退役士兵本人；对符合异地培训条件的自主就业退役士兵进行登记备案。</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（三）审核通过的自主就业退役士兵在培训网上填报承训机构及所需专业，按照承训机构招生的有关规定办理报名录取等入学手续，并将入学情况反馈至安置地退役军人事务部门。</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（四）安置地退役军人事务部门登录培训网管理后台，跟踪管理自主就业退役士兵异地培训参训情况。</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第二十三条　</w:t>
      </w:r>
      <w:r>
        <w:rPr>
          <w:rFonts w:eastAsia="方正仿宋_GBK"/>
          <w:snapToGrid w:val="0"/>
          <w:sz w:val="32"/>
          <w:szCs w:val="32"/>
        </w:rPr>
        <w:t>异地培训经费结算按照以下规定执行：</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（一）自主就业退役士兵个人申请异地培训的，由自主就业退役士兵个人先行垫付培训经费，待培训结束后，自主就业退役</w:t>
      </w:r>
      <w:r>
        <w:rPr>
          <w:rFonts w:eastAsia="方正仿宋_GBK"/>
          <w:snapToGrid w:val="0"/>
          <w:spacing w:val="6"/>
          <w:sz w:val="32"/>
          <w:szCs w:val="32"/>
        </w:rPr>
        <w:t>士兵凭毕（结）业证书、职业资格证书（或职业技能等级证书）、费用发票等有关证明材料，按照设区市退役军人事务部门明确的培训标准和规定，回设区市或县级退役军人事务部门申请培训补</w:t>
      </w:r>
      <w:r>
        <w:rPr>
          <w:rFonts w:eastAsia="方正仿宋_GBK"/>
          <w:snapToGrid w:val="0"/>
          <w:sz w:val="32"/>
          <w:szCs w:val="32"/>
        </w:rPr>
        <w:t>贴。</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（二）退役军人事务部门组织的项目制培训，待培训结束后，由培训主办方根据协议向培训机构集中支付培训经费。自主就业退役士兵需异地参加的，按照异地培训有关规定结算培训经费。</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（三）申请异地培训的自主就业退役士兵，所需交通费、退役士兵本人与培训机构协商缴纳的其他费用等额外产生的费用，由其本人自理。</w:t>
      </w:r>
    </w:p>
    <w:p>
      <w:pPr>
        <w:pStyle w:val="21"/>
        <w:autoSpaceDE/>
        <w:autoSpaceDN/>
        <w:snapToGrid w:val="0"/>
        <w:spacing w:line="590" w:lineRule="exact"/>
        <w:ind w:firstLine="640" w:firstLineChars="200"/>
        <w:jc w:val="both"/>
        <w:rPr>
          <w:rFonts w:ascii="Times New Roman" w:hAnsi="Times New Roman" w:eastAsia="方正仿宋_GBK"/>
          <w:snapToGrid w:val="0"/>
          <w:kern w:val="2"/>
          <w:sz w:val="32"/>
          <w:szCs w:val="32"/>
        </w:rPr>
      </w:pPr>
      <w:r>
        <w:rPr>
          <w:rFonts w:hint="eastAsia" w:ascii="方正黑体_GBK" w:hAnsi="Times New Roman" w:eastAsia="方正黑体_GBK"/>
          <w:snapToGrid w:val="0"/>
          <w:kern w:val="2"/>
          <w:sz w:val="32"/>
          <w:szCs w:val="32"/>
        </w:rPr>
        <w:t>第二十四条　</w:t>
      </w:r>
      <w:r>
        <w:rPr>
          <w:rFonts w:ascii="Times New Roman" w:hAnsi="Times New Roman" w:eastAsia="方正仿宋_GBK"/>
          <w:snapToGrid w:val="0"/>
          <w:kern w:val="2"/>
          <w:sz w:val="32"/>
          <w:szCs w:val="32"/>
        </w:rPr>
        <w:t>因工作、学习、生活等原因，需在广西区外参加培训的，所选培训机构和专业需是退役军人事务部公布的大黄页内的培训机构和专业。培训申请和经费结算参照区内异地培训有关规定执行。</w:t>
      </w:r>
    </w:p>
    <w:p>
      <w:pPr>
        <w:adjustRightInd w:val="0"/>
        <w:snapToGrid w:val="0"/>
        <w:spacing w:line="590" w:lineRule="exact"/>
        <w:ind w:firstLine="640" w:firstLineChars="200"/>
        <w:rPr>
          <w:rFonts w:hint="eastAsia" w:ascii="方正黑体_GBK" w:eastAsia="方正黑体_GBK"/>
          <w:snapToGrid w:val="0"/>
          <w:sz w:val="32"/>
          <w:szCs w:val="32"/>
        </w:rPr>
      </w:pPr>
    </w:p>
    <w:p>
      <w:pPr>
        <w:adjustRightInd w:val="0"/>
        <w:snapToGrid w:val="0"/>
        <w:spacing w:line="590" w:lineRule="exact"/>
        <w:jc w:val="center"/>
        <w:rPr>
          <w:rFonts w:ascii="方正黑体_GBK" w:eastAsia="方正黑体_GBK"/>
          <w:snapToGrid w:val="0"/>
          <w:sz w:val="32"/>
          <w:szCs w:val="32"/>
        </w:rPr>
      </w:pPr>
      <w:r>
        <w:rPr>
          <w:rFonts w:hint="eastAsia" w:ascii="方正黑体_GBK" w:eastAsia="方正黑体_GBK"/>
          <w:snapToGrid w:val="0"/>
          <w:sz w:val="32"/>
          <w:szCs w:val="32"/>
        </w:rPr>
        <w:t>第六章　</w:t>
      </w:r>
      <w:r>
        <w:rPr>
          <w:rFonts w:ascii="方正黑体_GBK" w:eastAsia="方正黑体_GBK"/>
          <w:snapToGrid w:val="0"/>
          <w:sz w:val="32"/>
          <w:szCs w:val="32"/>
        </w:rPr>
        <w:t>教育培训管理</w:t>
      </w:r>
    </w:p>
    <w:p>
      <w:pPr>
        <w:adjustRightInd w:val="0"/>
        <w:snapToGrid w:val="0"/>
        <w:spacing w:line="590" w:lineRule="exact"/>
        <w:ind w:firstLine="640" w:firstLineChars="200"/>
        <w:rPr>
          <w:rFonts w:hint="eastAsia" w:ascii="方正黑体_GBK" w:eastAsia="方正黑体_GBK"/>
          <w:snapToGrid w:val="0"/>
          <w:sz w:val="32"/>
          <w:szCs w:val="32"/>
        </w:rPr>
      </w:pP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第二十五条　</w:t>
      </w:r>
      <w:r>
        <w:rPr>
          <w:rFonts w:eastAsia="方正仿宋_GBK"/>
          <w:snapToGrid w:val="0"/>
          <w:sz w:val="32"/>
          <w:szCs w:val="32"/>
        </w:rPr>
        <w:t>依据国家和自治区有关规定明确的标准要求，由设区市退役军人事务局依程序确定退役士兵职业技能培训机构，并向社会公布。</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依托现有资源，选择实施1＋X证书制度且对接职业教育国家学分银行的职业院校及应用型本科高校作为培训基地，开展培训。</w:t>
      </w:r>
    </w:p>
    <w:p>
      <w:pPr>
        <w:pStyle w:val="21"/>
        <w:autoSpaceDE/>
        <w:autoSpaceDN/>
        <w:snapToGrid w:val="0"/>
        <w:spacing w:line="590" w:lineRule="exact"/>
        <w:ind w:firstLine="640" w:firstLineChars="200"/>
        <w:jc w:val="both"/>
        <w:rPr>
          <w:rFonts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退役军人事务部门依托职业技能培训机构目录中的机构向自主就业退役士兵开展职业技能培训，选择经人社部门备案的评价机构对退役士兵开展职业技能鉴定、评价。</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第二十六条　</w:t>
      </w:r>
      <w:r>
        <w:rPr>
          <w:rFonts w:eastAsia="方正仿宋_GBK"/>
          <w:snapToGrid w:val="0"/>
          <w:sz w:val="32"/>
          <w:szCs w:val="32"/>
        </w:rPr>
        <w:t>对确定承担退役士兵职业技能培训的机构，依法签订合作协议，按有关规定实施合同管理。</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对确定承担退役士兵职业技能培训的机构，纳入广西退役军人就业创业培训网，实行网络化管理，对退役士兵培训的信息发布、网上招生、网上报名、网上管理、就业跟踪、培训评估、统计分析等实时动态监管。</w:t>
      </w:r>
    </w:p>
    <w:p>
      <w:pPr>
        <w:adjustRightInd w:val="0"/>
        <w:snapToGrid w:val="0"/>
        <w:spacing w:line="590" w:lineRule="exact"/>
        <w:ind w:firstLine="640" w:firstLineChars="200"/>
        <w:rPr>
          <w:rFonts w:eastAsia="方正仿宋_GBK"/>
          <w:snapToGrid w:val="0"/>
          <w:sz w:val="32"/>
          <w:szCs w:val="32"/>
        </w:rPr>
      </w:pPr>
      <w:r>
        <w:rPr>
          <w:rFonts w:eastAsia="方正仿宋_GBK"/>
          <w:snapToGrid w:val="0"/>
          <w:sz w:val="32"/>
          <w:szCs w:val="32"/>
        </w:rPr>
        <w:t>建立优秀、合格、不合格三级等级评定制度，对确定为承担退役士兵职业技能培训的机构实行年度考评。考评优秀的，向社会公示、向退役军人重点推介；考评不合格的，终止合作协议。</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第二十七条　</w:t>
      </w:r>
      <w:r>
        <w:rPr>
          <w:rFonts w:eastAsia="方正仿宋_GBK"/>
          <w:snapToGrid w:val="0"/>
          <w:sz w:val="32"/>
          <w:szCs w:val="32"/>
        </w:rPr>
        <w:t>承训机构要建立管理制度，如实记录学员出勤率和参训率，对参训学员统一管理。对违反管理制度的学员，承训机构可视情给予批评教育、停课停训等处理，对严重违反管理制度、拒不改正的学员，承训机构可报请退役军人事务部门审核批准后，给予劝退或勒令退学处理，被劝退或勒令退学的退役军人不再享受免费培训。</w:t>
      </w:r>
    </w:p>
    <w:p>
      <w:pPr>
        <w:pStyle w:val="21"/>
        <w:autoSpaceDE/>
        <w:autoSpaceDN/>
        <w:snapToGrid w:val="0"/>
        <w:spacing w:line="590" w:lineRule="exact"/>
        <w:ind w:firstLine="640" w:firstLineChars="200"/>
        <w:jc w:val="both"/>
        <w:rPr>
          <w:rFonts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已参加技能培训而中途又放弃的（非个人主观意愿放弃的除外）（实际培训1天以上）退役士兵，不再享受免费培训或培训补贴政策。</w:t>
      </w:r>
    </w:p>
    <w:p>
      <w:pPr>
        <w:pStyle w:val="21"/>
        <w:autoSpaceDE/>
        <w:autoSpaceDN/>
        <w:snapToGrid w:val="0"/>
        <w:spacing w:line="590" w:lineRule="exact"/>
        <w:ind w:firstLine="640" w:firstLineChars="200"/>
        <w:jc w:val="both"/>
        <w:rPr>
          <w:rFonts w:ascii="Times New Roman" w:hAnsi="Times New Roman" w:eastAsia="方正仿宋_GBK"/>
          <w:snapToGrid w:val="0"/>
          <w:kern w:val="2"/>
          <w:sz w:val="32"/>
          <w:szCs w:val="32"/>
        </w:rPr>
      </w:pPr>
      <w:r>
        <w:rPr>
          <w:rFonts w:ascii="Times New Roman" w:hAnsi="Times New Roman" w:eastAsia="方正仿宋_GBK"/>
          <w:snapToGrid w:val="0"/>
          <w:kern w:val="2"/>
          <w:sz w:val="32"/>
          <w:szCs w:val="32"/>
        </w:rPr>
        <w:t xml:space="preserve"> </w:t>
      </w:r>
    </w:p>
    <w:p>
      <w:pPr>
        <w:adjustRightInd w:val="0"/>
        <w:snapToGrid w:val="0"/>
        <w:spacing w:line="590" w:lineRule="exact"/>
        <w:jc w:val="center"/>
        <w:rPr>
          <w:rFonts w:ascii="方正黑体_GBK" w:eastAsia="方正黑体_GBK"/>
          <w:snapToGrid w:val="0"/>
          <w:sz w:val="32"/>
          <w:szCs w:val="32"/>
        </w:rPr>
      </w:pPr>
      <w:r>
        <w:rPr>
          <w:rFonts w:hint="eastAsia" w:ascii="方正黑体_GBK" w:eastAsia="方正黑体_GBK"/>
          <w:snapToGrid w:val="0"/>
          <w:sz w:val="32"/>
          <w:szCs w:val="32"/>
        </w:rPr>
        <w:t>第七章　</w:t>
      </w:r>
      <w:r>
        <w:rPr>
          <w:rFonts w:ascii="方正黑体_GBK" w:eastAsia="方正黑体_GBK"/>
          <w:snapToGrid w:val="0"/>
          <w:sz w:val="32"/>
          <w:szCs w:val="32"/>
        </w:rPr>
        <w:t>附  则</w:t>
      </w:r>
    </w:p>
    <w:p>
      <w:pPr>
        <w:adjustRightInd w:val="0"/>
        <w:snapToGrid w:val="0"/>
        <w:spacing w:line="590" w:lineRule="exact"/>
        <w:ind w:firstLine="640" w:firstLineChars="200"/>
        <w:rPr>
          <w:rFonts w:hint="eastAsia" w:ascii="方正黑体_GBK" w:eastAsia="方正黑体_GBK"/>
          <w:snapToGrid w:val="0"/>
          <w:sz w:val="32"/>
          <w:szCs w:val="32"/>
        </w:rPr>
      </w:pP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第二十八条　</w:t>
      </w:r>
      <w:r>
        <w:rPr>
          <w:rFonts w:eastAsia="方正仿宋_GBK"/>
          <w:snapToGrid w:val="0"/>
          <w:sz w:val="32"/>
          <w:szCs w:val="32"/>
        </w:rPr>
        <w:t>上述不同部门间同类培训项目原则上只参加一次，符合政府安排工作条件的退役士兵适应性培训参照自主就业退役士兵执行。</w:t>
      </w:r>
    </w:p>
    <w:p>
      <w:pPr>
        <w:pStyle w:val="21"/>
        <w:autoSpaceDE/>
        <w:autoSpaceDN/>
        <w:snapToGrid w:val="0"/>
        <w:spacing w:line="590" w:lineRule="exact"/>
        <w:ind w:firstLine="640" w:firstLineChars="200"/>
        <w:jc w:val="both"/>
        <w:rPr>
          <w:rFonts w:ascii="Times New Roman" w:hAnsi="Times New Roman" w:eastAsia="方正仿宋_GBK"/>
          <w:snapToGrid w:val="0"/>
          <w:kern w:val="2"/>
          <w:sz w:val="32"/>
          <w:szCs w:val="32"/>
        </w:rPr>
      </w:pPr>
      <w:r>
        <w:rPr>
          <w:rFonts w:hint="eastAsia" w:ascii="方正黑体_GBK" w:hAnsi="Times New Roman" w:eastAsia="方正黑体_GBK"/>
          <w:snapToGrid w:val="0"/>
          <w:kern w:val="2"/>
          <w:sz w:val="32"/>
          <w:szCs w:val="32"/>
        </w:rPr>
        <w:t>第二十九条　</w:t>
      </w:r>
      <w:r>
        <w:rPr>
          <w:rFonts w:ascii="Times New Roman" w:hAnsi="Times New Roman" w:eastAsia="方正仿宋_GBK"/>
          <w:snapToGrid w:val="0"/>
          <w:spacing w:val="-4"/>
          <w:kern w:val="2"/>
          <w:sz w:val="32"/>
          <w:szCs w:val="32"/>
        </w:rPr>
        <w:t>本办法归广西壮族自治区退役军人事务厅解</w:t>
      </w:r>
      <w:r>
        <w:rPr>
          <w:rFonts w:ascii="Times New Roman" w:hAnsi="Times New Roman" w:eastAsia="方正仿宋_GBK"/>
          <w:snapToGrid w:val="0"/>
          <w:kern w:val="2"/>
          <w:sz w:val="32"/>
          <w:szCs w:val="32"/>
        </w:rPr>
        <w:t>释。</w:t>
      </w:r>
    </w:p>
    <w:p>
      <w:pPr>
        <w:adjustRightInd w:val="0"/>
        <w:snapToGrid w:val="0"/>
        <w:spacing w:line="590" w:lineRule="exact"/>
        <w:ind w:firstLine="640" w:firstLineChars="200"/>
        <w:rPr>
          <w:rFonts w:eastAsia="方正仿宋_GBK"/>
          <w:snapToGrid w:val="0"/>
          <w:sz w:val="32"/>
          <w:szCs w:val="32"/>
        </w:rPr>
      </w:pPr>
      <w:r>
        <w:rPr>
          <w:rFonts w:hint="eastAsia" w:ascii="方正黑体_GBK" w:eastAsia="方正黑体_GBK"/>
          <w:snapToGrid w:val="0"/>
          <w:sz w:val="32"/>
          <w:szCs w:val="32"/>
        </w:rPr>
        <w:t>第三十条　</w:t>
      </w:r>
      <w:r>
        <w:rPr>
          <w:rFonts w:eastAsia="方正仿宋_GBK"/>
          <w:snapToGrid w:val="0"/>
          <w:sz w:val="32"/>
          <w:szCs w:val="32"/>
        </w:rPr>
        <w:t xml:space="preserve">本办法自发布之日起施行。原《广西壮族自治区退役士兵职业教育和技能培训办法》（桂民规〔2018〕2号）、《广西壮族自治区退役军人事务厅 </w:t>
      </w:r>
      <w:r>
        <w:rPr>
          <w:rFonts w:hint="eastAsia" w:eastAsia="方正仿宋_GBK"/>
          <w:snapToGrid w:val="0"/>
          <w:sz w:val="32"/>
          <w:szCs w:val="32"/>
        </w:rPr>
        <w:t xml:space="preserve"> </w:t>
      </w:r>
      <w:r>
        <w:rPr>
          <w:rFonts w:eastAsia="方正仿宋_GBK"/>
          <w:snapToGrid w:val="0"/>
          <w:sz w:val="32"/>
          <w:szCs w:val="32"/>
        </w:rPr>
        <w:t>广西壮族自治区人力资源和社会保障厅</w:t>
      </w:r>
      <w:r>
        <w:rPr>
          <w:rFonts w:hint="eastAsia" w:eastAsia="方正仿宋_GBK"/>
          <w:snapToGrid w:val="0"/>
          <w:sz w:val="32"/>
          <w:szCs w:val="32"/>
        </w:rPr>
        <w:t xml:space="preserve"> </w:t>
      </w:r>
      <w:r>
        <w:rPr>
          <w:rFonts w:eastAsia="方正仿宋_GBK"/>
          <w:snapToGrid w:val="0"/>
          <w:sz w:val="32"/>
          <w:szCs w:val="32"/>
        </w:rPr>
        <w:t xml:space="preserve"> 广西壮族自治区财政厅 </w:t>
      </w:r>
      <w:r>
        <w:rPr>
          <w:rFonts w:hint="eastAsia" w:eastAsia="方正仿宋_GBK"/>
          <w:snapToGrid w:val="0"/>
          <w:sz w:val="32"/>
          <w:szCs w:val="32"/>
        </w:rPr>
        <w:t xml:space="preserve"> </w:t>
      </w:r>
      <w:r>
        <w:rPr>
          <w:rFonts w:eastAsia="方正仿宋_GBK"/>
          <w:snapToGrid w:val="0"/>
          <w:sz w:val="32"/>
          <w:szCs w:val="32"/>
        </w:rPr>
        <w:t>广西壮族自治区教育厅关于进一步加强退役军人职业教育和技能培训管理工作的通知》（桂退役军人发〔2020〕21号）同时废止。</w:t>
      </w:r>
    </w:p>
    <w:p>
      <w:pPr>
        <w:overflowPunct w:val="0"/>
        <w:adjustRightInd w:val="0"/>
        <w:snapToGrid w:val="0"/>
        <w:spacing w:line="590" w:lineRule="exact"/>
        <w:ind w:firstLine="640" w:firstLineChars="200"/>
        <w:jc w:val="distribute"/>
        <w:textAlignment w:val="center"/>
        <w:rPr>
          <w:rFonts w:hint="eastAsia" w:eastAsia="方正仿宋_GBK"/>
          <w:snapToGrid w:val="0"/>
          <w:sz w:val="32"/>
          <w:szCs w:val="32"/>
        </w:rPr>
      </w:pPr>
      <w:r>
        <w:rPr>
          <w:rFonts w:hint="eastAsia" w:eastAsia="方正仿宋_GBK"/>
          <w:snapToGrid w:val="0"/>
          <w:sz w:val="32"/>
          <w:szCs w:val="32"/>
        </w:rPr>
        <w:t xml:space="preserve"> </w:t>
      </w:r>
    </w:p>
    <w:p>
      <w:pPr>
        <w:adjustRightInd w:val="0"/>
        <w:snapToGrid w:val="0"/>
        <w:jc w:val="center"/>
        <w:rPr>
          <w:rFonts w:hint="eastAsia" w:eastAsia="方正仿宋_GBK"/>
          <w:color w:val="000000"/>
          <w:kern w:val="0"/>
          <w:szCs w:val="28"/>
          <w:lang/>
        </w:rPr>
      </w:pPr>
      <w:bookmarkStart w:id="1" w:name="_GoBack"/>
      <w:bookmarkEnd w:id="1"/>
      <w:r>
        <w:rPr>
          <w:rFonts w:eastAsia="方正仿宋_GBK"/>
          <w:color w:val="000000"/>
          <w:kern w:val="32"/>
          <w:sz w:val="32"/>
          <w:szCs w:val="32"/>
          <w:lang/>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7741920</wp:posOffset>
                </wp:positionV>
                <wp:extent cx="7378700" cy="1693545"/>
                <wp:effectExtent l="0" t="0" r="12700" b="1905"/>
                <wp:wrapNone/>
                <wp:docPr id="5" name="矩形 220"/>
                <wp:cNvGraphicFramePr/>
                <a:graphic xmlns:a="http://schemas.openxmlformats.org/drawingml/2006/main">
                  <a:graphicData uri="http://schemas.microsoft.com/office/word/2010/wordprocessingShape">
                    <wps:wsp>
                      <wps:cNvSpPr/>
                      <wps:spPr>
                        <a:xfrm>
                          <a:off x="0" y="0"/>
                          <a:ext cx="7378700" cy="1693545"/>
                        </a:xfrm>
                        <a:prstGeom prst="rect">
                          <a:avLst/>
                        </a:prstGeom>
                        <a:solidFill>
                          <a:srgbClr val="FFFFFF"/>
                        </a:solidFill>
                        <a:ln w="6350">
                          <a:noFill/>
                        </a:ln>
                      </wps:spPr>
                      <wps:bodyPr wrap="square" upright="true"/>
                    </wps:wsp>
                  </a:graphicData>
                </a:graphic>
              </wp:anchor>
            </w:drawing>
          </mc:Choice>
          <mc:Fallback>
            <w:pict>
              <v:rect id="矩形 220" o:spid="_x0000_s1026" o:spt="1" style="position:absolute;left:0pt;margin-left:-63pt;margin-top:609.6pt;height:133.35pt;width:581pt;z-index:251662336;mso-width-relative:page;mso-height-relative:page;" fillcolor="#FFFFFF" filled="t" stroked="f" coordsize="21600,21600" o:gfxdata="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LMOi73aAAAADwEAAA8AAAAAAAAAAQAgAAAAOAAAAGRycy9kb3ducmV2&#10;LnhtbFBLAQIUABQAAAAIAIdO4kAhSMjvqwEAAC4DAAAOAAAAAAAAAAEAIAAAAD8BAABkcnMvZTJv&#10;RG9jLnhtbFBLBQYAAAAABgAGAFkBAABcBQAAAAA=&#10;">
                <v:fill on="t" focussize="0,0"/>
                <v:stroke on="f" weight="0.5pt"/>
                <v:imagedata o:title=""/>
                <o:lock v:ext="edit" aspectratio="f"/>
              </v:rect>
            </w:pict>
          </mc:Fallback>
        </mc:AlternateContent>
      </w:r>
      <w:bookmarkEnd w:id="0"/>
    </w:p>
    <w:sectPr>
      <w:footerReference r:id="rId3" w:type="default"/>
      <w:pgSz w:w="11906" w:h="16838"/>
      <w:pgMar w:top="1928" w:right="1418" w:bottom="1814" w:left="1418" w:header="851" w:footer="1474"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80" w:leftChars="100" w:right="280" w:rightChars="100"/>
      <w:jc w:val="center"/>
      <w:rPr>
        <w:rStyle w:val="16"/>
        <w:rFonts w:hint="eastAsia" w:ascii="宋体" w:hAnsi="宋体"/>
        <w:sz w:val="28"/>
        <w:szCs w:val="28"/>
      </w:rPr>
    </w:pPr>
    <w:r>
      <w:rPr>
        <w:rStyle w:val="16"/>
        <w:rFonts w:hint="eastAsia" w:ascii="宋体" w:hAnsi="宋体"/>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lang/>
      </w:rPr>
      <w:t>16</w:t>
    </w:r>
    <w:r>
      <w:rPr>
        <w:sz w:val="28"/>
        <w:szCs w:val="28"/>
      </w:rPr>
      <w:fldChar w:fldCharType="end"/>
    </w:r>
    <w:r>
      <w:rPr>
        <w:rStyle w:val="16"/>
        <w:rFonts w:hint="eastAsia" w:ascii="宋体" w:hAnsi="宋体"/>
        <w:sz w:val="28"/>
        <w:szCs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EE"/>
    <w:rsid w:val="00001332"/>
    <w:rsid w:val="000061C5"/>
    <w:rsid w:val="00011803"/>
    <w:rsid w:val="0001214D"/>
    <w:rsid w:val="00014548"/>
    <w:rsid w:val="00020B0B"/>
    <w:rsid w:val="00022DF3"/>
    <w:rsid w:val="00034582"/>
    <w:rsid w:val="00035151"/>
    <w:rsid w:val="00044E7C"/>
    <w:rsid w:val="00047823"/>
    <w:rsid w:val="00056AFF"/>
    <w:rsid w:val="00057E88"/>
    <w:rsid w:val="00076237"/>
    <w:rsid w:val="000842C5"/>
    <w:rsid w:val="00085A9C"/>
    <w:rsid w:val="00086549"/>
    <w:rsid w:val="0008798F"/>
    <w:rsid w:val="0009089A"/>
    <w:rsid w:val="00092346"/>
    <w:rsid w:val="00092960"/>
    <w:rsid w:val="00092CFA"/>
    <w:rsid w:val="000933BF"/>
    <w:rsid w:val="000956D4"/>
    <w:rsid w:val="00096AA6"/>
    <w:rsid w:val="000A38FA"/>
    <w:rsid w:val="000A4677"/>
    <w:rsid w:val="000A545B"/>
    <w:rsid w:val="000A68C4"/>
    <w:rsid w:val="000A7ADC"/>
    <w:rsid w:val="000B06A2"/>
    <w:rsid w:val="000B2539"/>
    <w:rsid w:val="000B3974"/>
    <w:rsid w:val="000B4924"/>
    <w:rsid w:val="000B4F9E"/>
    <w:rsid w:val="000C04DD"/>
    <w:rsid w:val="000C1FAA"/>
    <w:rsid w:val="000C6DAA"/>
    <w:rsid w:val="000E34BC"/>
    <w:rsid w:val="000E4D6A"/>
    <w:rsid w:val="000E5552"/>
    <w:rsid w:val="000F0E8F"/>
    <w:rsid w:val="000F4DD9"/>
    <w:rsid w:val="000F4FEA"/>
    <w:rsid w:val="000F5043"/>
    <w:rsid w:val="000F7C61"/>
    <w:rsid w:val="00103303"/>
    <w:rsid w:val="001040A8"/>
    <w:rsid w:val="001043C5"/>
    <w:rsid w:val="001055EB"/>
    <w:rsid w:val="00105B43"/>
    <w:rsid w:val="00110A3B"/>
    <w:rsid w:val="00111152"/>
    <w:rsid w:val="001227C4"/>
    <w:rsid w:val="00124DD5"/>
    <w:rsid w:val="001260ED"/>
    <w:rsid w:val="0013022D"/>
    <w:rsid w:val="00130D6B"/>
    <w:rsid w:val="0013539E"/>
    <w:rsid w:val="0013694C"/>
    <w:rsid w:val="00136FFA"/>
    <w:rsid w:val="001372EB"/>
    <w:rsid w:val="00141DD9"/>
    <w:rsid w:val="00146134"/>
    <w:rsid w:val="00151568"/>
    <w:rsid w:val="001571C5"/>
    <w:rsid w:val="00160410"/>
    <w:rsid w:val="0016171A"/>
    <w:rsid w:val="00162621"/>
    <w:rsid w:val="00165DEB"/>
    <w:rsid w:val="00166831"/>
    <w:rsid w:val="001676EC"/>
    <w:rsid w:val="00167DDA"/>
    <w:rsid w:val="00167ED8"/>
    <w:rsid w:val="001700DB"/>
    <w:rsid w:val="0017752E"/>
    <w:rsid w:val="001842BF"/>
    <w:rsid w:val="00184F5C"/>
    <w:rsid w:val="00193A16"/>
    <w:rsid w:val="00193D1F"/>
    <w:rsid w:val="00195616"/>
    <w:rsid w:val="00196BFB"/>
    <w:rsid w:val="001A3C1D"/>
    <w:rsid w:val="001A433E"/>
    <w:rsid w:val="001A7F59"/>
    <w:rsid w:val="001B6468"/>
    <w:rsid w:val="001C3101"/>
    <w:rsid w:val="001C500A"/>
    <w:rsid w:val="001D7BD7"/>
    <w:rsid w:val="001E063C"/>
    <w:rsid w:val="001E2FD5"/>
    <w:rsid w:val="001F147A"/>
    <w:rsid w:val="001F1F57"/>
    <w:rsid w:val="001F5543"/>
    <w:rsid w:val="001F60F2"/>
    <w:rsid w:val="001F7C3B"/>
    <w:rsid w:val="002012E2"/>
    <w:rsid w:val="00206B15"/>
    <w:rsid w:val="00210C78"/>
    <w:rsid w:val="0021163A"/>
    <w:rsid w:val="00213E45"/>
    <w:rsid w:val="00215F93"/>
    <w:rsid w:val="00221562"/>
    <w:rsid w:val="00224F44"/>
    <w:rsid w:val="00236305"/>
    <w:rsid w:val="0023676D"/>
    <w:rsid w:val="00237B72"/>
    <w:rsid w:val="002408EE"/>
    <w:rsid w:val="00241E01"/>
    <w:rsid w:val="00250941"/>
    <w:rsid w:val="0025128E"/>
    <w:rsid w:val="0025453D"/>
    <w:rsid w:val="00261AE5"/>
    <w:rsid w:val="00262102"/>
    <w:rsid w:val="002668B5"/>
    <w:rsid w:val="00270225"/>
    <w:rsid w:val="00273150"/>
    <w:rsid w:val="00274B8A"/>
    <w:rsid w:val="00277FD2"/>
    <w:rsid w:val="00281384"/>
    <w:rsid w:val="002815EC"/>
    <w:rsid w:val="00296334"/>
    <w:rsid w:val="002A004D"/>
    <w:rsid w:val="002A17DA"/>
    <w:rsid w:val="002A193B"/>
    <w:rsid w:val="002B027E"/>
    <w:rsid w:val="002B19DC"/>
    <w:rsid w:val="002B22DF"/>
    <w:rsid w:val="002B3ED5"/>
    <w:rsid w:val="002B4F6E"/>
    <w:rsid w:val="002C17BF"/>
    <w:rsid w:val="002C5114"/>
    <w:rsid w:val="002D1789"/>
    <w:rsid w:val="002D1B1C"/>
    <w:rsid w:val="002D2D03"/>
    <w:rsid w:val="002D3BAE"/>
    <w:rsid w:val="002D4073"/>
    <w:rsid w:val="002E443E"/>
    <w:rsid w:val="002E460F"/>
    <w:rsid w:val="002E6CC3"/>
    <w:rsid w:val="002E71A6"/>
    <w:rsid w:val="002E7F86"/>
    <w:rsid w:val="002F1C69"/>
    <w:rsid w:val="002F27B5"/>
    <w:rsid w:val="002F4304"/>
    <w:rsid w:val="00315351"/>
    <w:rsid w:val="0032085A"/>
    <w:rsid w:val="00320A63"/>
    <w:rsid w:val="00323697"/>
    <w:rsid w:val="00325EEC"/>
    <w:rsid w:val="003275BD"/>
    <w:rsid w:val="0033680C"/>
    <w:rsid w:val="003377B3"/>
    <w:rsid w:val="003453C7"/>
    <w:rsid w:val="00350BE5"/>
    <w:rsid w:val="0035422F"/>
    <w:rsid w:val="003548AF"/>
    <w:rsid w:val="00361937"/>
    <w:rsid w:val="00361B51"/>
    <w:rsid w:val="003656C0"/>
    <w:rsid w:val="003660FB"/>
    <w:rsid w:val="00370E3A"/>
    <w:rsid w:val="0037643E"/>
    <w:rsid w:val="00380CAF"/>
    <w:rsid w:val="003846C6"/>
    <w:rsid w:val="00384C04"/>
    <w:rsid w:val="0039647C"/>
    <w:rsid w:val="0039791F"/>
    <w:rsid w:val="003A7FA5"/>
    <w:rsid w:val="003B0885"/>
    <w:rsid w:val="003B447C"/>
    <w:rsid w:val="003B46E8"/>
    <w:rsid w:val="003C1B67"/>
    <w:rsid w:val="003C2697"/>
    <w:rsid w:val="003C49D2"/>
    <w:rsid w:val="003D163F"/>
    <w:rsid w:val="003D220E"/>
    <w:rsid w:val="003D3402"/>
    <w:rsid w:val="003D3567"/>
    <w:rsid w:val="003D461A"/>
    <w:rsid w:val="003E2795"/>
    <w:rsid w:val="003E3BD9"/>
    <w:rsid w:val="003E69C9"/>
    <w:rsid w:val="003F06C1"/>
    <w:rsid w:val="003F08FE"/>
    <w:rsid w:val="003F4D4A"/>
    <w:rsid w:val="003F4D9B"/>
    <w:rsid w:val="003F5119"/>
    <w:rsid w:val="003F5488"/>
    <w:rsid w:val="003F60D8"/>
    <w:rsid w:val="003F7999"/>
    <w:rsid w:val="0041035C"/>
    <w:rsid w:val="00413EF0"/>
    <w:rsid w:val="00415664"/>
    <w:rsid w:val="00417A61"/>
    <w:rsid w:val="00417B03"/>
    <w:rsid w:val="00420BEE"/>
    <w:rsid w:val="004266B8"/>
    <w:rsid w:val="004322FC"/>
    <w:rsid w:val="00432655"/>
    <w:rsid w:val="00442D1F"/>
    <w:rsid w:val="004458E9"/>
    <w:rsid w:val="004545AC"/>
    <w:rsid w:val="004748F5"/>
    <w:rsid w:val="004858E2"/>
    <w:rsid w:val="0049147F"/>
    <w:rsid w:val="0049159F"/>
    <w:rsid w:val="004926AA"/>
    <w:rsid w:val="00494183"/>
    <w:rsid w:val="00495467"/>
    <w:rsid w:val="00495550"/>
    <w:rsid w:val="00495929"/>
    <w:rsid w:val="004A02B0"/>
    <w:rsid w:val="004A68EE"/>
    <w:rsid w:val="004A6A9A"/>
    <w:rsid w:val="004A72A0"/>
    <w:rsid w:val="004B2360"/>
    <w:rsid w:val="004B35A5"/>
    <w:rsid w:val="004B3720"/>
    <w:rsid w:val="004B4D2A"/>
    <w:rsid w:val="004B6193"/>
    <w:rsid w:val="004B6831"/>
    <w:rsid w:val="004C4CCC"/>
    <w:rsid w:val="004C6C10"/>
    <w:rsid w:val="004C73F9"/>
    <w:rsid w:val="004C760D"/>
    <w:rsid w:val="004D577C"/>
    <w:rsid w:val="004E211F"/>
    <w:rsid w:val="004E4822"/>
    <w:rsid w:val="004F245C"/>
    <w:rsid w:val="004F2C78"/>
    <w:rsid w:val="004F3FC8"/>
    <w:rsid w:val="004F5D4F"/>
    <w:rsid w:val="0050220D"/>
    <w:rsid w:val="00514A69"/>
    <w:rsid w:val="005254D7"/>
    <w:rsid w:val="00535905"/>
    <w:rsid w:val="00542744"/>
    <w:rsid w:val="00545B2A"/>
    <w:rsid w:val="00545BFD"/>
    <w:rsid w:val="005474EE"/>
    <w:rsid w:val="00557DFF"/>
    <w:rsid w:val="00561DAC"/>
    <w:rsid w:val="00562CF4"/>
    <w:rsid w:val="00563AEF"/>
    <w:rsid w:val="00566B20"/>
    <w:rsid w:val="00573C63"/>
    <w:rsid w:val="00574F4F"/>
    <w:rsid w:val="0058088C"/>
    <w:rsid w:val="00584D72"/>
    <w:rsid w:val="00591764"/>
    <w:rsid w:val="00592247"/>
    <w:rsid w:val="005A1D75"/>
    <w:rsid w:val="005A39E4"/>
    <w:rsid w:val="005A7406"/>
    <w:rsid w:val="005A782B"/>
    <w:rsid w:val="005B4154"/>
    <w:rsid w:val="005B486D"/>
    <w:rsid w:val="005B4D59"/>
    <w:rsid w:val="005B75DF"/>
    <w:rsid w:val="005C1794"/>
    <w:rsid w:val="005C3CDD"/>
    <w:rsid w:val="005C671E"/>
    <w:rsid w:val="005D131F"/>
    <w:rsid w:val="005D185F"/>
    <w:rsid w:val="005D3871"/>
    <w:rsid w:val="005D7AAF"/>
    <w:rsid w:val="005E072B"/>
    <w:rsid w:val="005F4053"/>
    <w:rsid w:val="005F4760"/>
    <w:rsid w:val="005F79B2"/>
    <w:rsid w:val="00601A9A"/>
    <w:rsid w:val="00612226"/>
    <w:rsid w:val="006137A4"/>
    <w:rsid w:val="00615B97"/>
    <w:rsid w:val="00620000"/>
    <w:rsid w:val="006245BD"/>
    <w:rsid w:val="00626110"/>
    <w:rsid w:val="00626E08"/>
    <w:rsid w:val="00635824"/>
    <w:rsid w:val="00635FF7"/>
    <w:rsid w:val="006404E2"/>
    <w:rsid w:val="00642F54"/>
    <w:rsid w:val="00643590"/>
    <w:rsid w:val="006449CD"/>
    <w:rsid w:val="00652E68"/>
    <w:rsid w:val="006539B2"/>
    <w:rsid w:val="00656D63"/>
    <w:rsid w:val="00656F6D"/>
    <w:rsid w:val="0065723E"/>
    <w:rsid w:val="00660D1A"/>
    <w:rsid w:val="00671211"/>
    <w:rsid w:val="006713E1"/>
    <w:rsid w:val="00674A45"/>
    <w:rsid w:val="00677843"/>
    <w:rsid w:val="006808AB"/>
    <w:rsid w:val="00681C19"/>
    <w:rsid w:val="006822E8"/>
    <w:rsid w:val="00682779"/>
    <w:rsid w:val="00691DA3"/>
    <w:rsid w:val="00692CB0"/>
    <w:rsid w:val="00695BCC"/>
    <w:rsid w:val="00696D20"/>
    <w:rsid w:val="006A0723"/>
    <w:rsid w:val="006A4C95"/>
    <w:rsid w:val="006A59CA"/>
    <w:rsid w:val="006B0F19"/>
    <w:rsid w:val="006B1346"/>
    <w:rsid w:val="006C155D"/>
    <w:rsid w:val="006C1C7B"/>
    <w:rsid w:val="006C6C3C"/>
    <w:rsid w:val="006D0F8B"/>
    <w:rsid w:val="006D13F1"/>
    <w:rsid w:val="006D2A73"/>
    <w:rsid w:val="006D3E35"/>
    <w:rsid w:val="006D6C50"/>
    <w:rsid w:val="006E0152"/>
    <w:rsid w:val="006E0896"/>
    <w:rsid w:val="006E0ED1"/>
    <w:rsid w:val="006E68FB"/>
    <w:rsid w:val="006F03ED"/>
    <w:rsid w:val="006F0638"/>
    <w:rsid w:val="006F2E4D"/>
    <w:rsid w:val="006F308A"/>
    <w:rsid w:val="006F3374"/>
    <w:rsid w:val="006F342D"/>
    <w:rsid w:val="006F3DA4"/>
    <w:rsid w:val="006F688E"/>
    <w:rsid w:val="00701844"/>
    <w:rsid w:val="00703FC6"/>
    <w:rsid w:val="00704D77"/>
    <w:rsid w:val="007062D4"/>
    <w:rsid w:val="00726C95"/>
    <w:rsid w:val="007338E0"/>
    <w:rsid w:val="0073627F"/>
    <w:rsid w:val="00736364"/>
    <w:rsid w:val="00740C31"/>
    <w:rsid w:val="007444E6"/>
    <w:rsid w:val="0075000E"/>
    <w:rsid w:val="00752AB8"/>
    <w:rsid w:val="00756384"/>
    <w:rsid w:val="007619F4"/>
    <w:rsid w:val="00765753"/>
    <w:rsid w:val="00766521"/>
    <w:rsid w:val="007671E6"/>
    <w:rsid w:val="007736A5"/>
    <w:rsid w:val="00773FFB"/>
    <w:rsid w:val="0078106C"/>
    <w:rsid w:val="007821B1"/>
    <w:rsid w:val="007907BA"/>
    <w:rsid w:val="007928B1"/>
    <w:rsid w:val="00797DD0"/>
    <w:rsid w:val="007A0019"/>
    <w:rsid w:val="007A1832"/>
    <w:rsid w:val="007A1EC1"/>
    <w:rsid w:val="007A39EE"/>
    <w:rsid w:val="007A62EB"/>
    <w:rsid w:val="007A6D30"/>
    <w:rsid w:val="007A71AE"/>
    <w:rsid w:val="007A75E5"/>
    <w:rsid w:val="007A7C1C"/>
    <w:rsid w:val="007B12B2"/>
    <w:rsid w:val="007B67AB"/>
    <w:rsid w:val="007C0345"/>
    <w:rsid w:val="007C22FA"/>
    <w:rsid w:val="007C76E6"/>
    <w:rsid w:val="007C79FD"/>
    <w:rsid w:val="007C7FF0"/>
    <w:rsid w:val="007D3EDC"/>
    <w:rsid w:val="007D4FE8"/>
    <w:rsid w:val="007E3D10"/>
    <w:rsid w:val="007F1596"/>
    <w:rsid w:val="007F2925"/>
    <w:rsid w:val="00800CB0"/>
    <w:rsid w:val="00800E69"/>
    <w:rsid w:val="00803019"/>
    <w:rsid w:val="008051C0"/>
    <w:rsid w:val="00814F81"/>
    <w:rsid w:val="0081646E"/>
    <w:rsid w:val="00816653"/>
    <w:rsid w:val="00816DE3"/>
    <w:rsid w:val="00820415"/>
    <w:rsid w:val="00821FBB"/>
    <w:rsid w:val="008230FD"/>
    <w:rsid w:val="00823380"/>
    <w:rsid w:val="00824896"/>
    <w:rsid w:val="00827E3C"/>
    <w:rsid w:val="0083335C"/>
    <w:rsid w:val="0083362D"/>
    <w:rsid w:val="0083646F"/>
    <w:rsid w:val="0084071E"/>
    <w:rsid w:val="008418C6"/>
    <w:rsid w:val="0084203D"/>
    <w:rsid w:val="00842177"/>
    <w:rsid w:val="00842733"/>
    <w:rsid w:val="00842DCB"/>
    <w:rsid w:val="00845019"/>
    <w:rsid w:val="00846C7A"/>
    <w:rsid w:val="008518E7"/>
    <w:rsid w:val="008554C2"/>
    <w:rsid w:val="008571FB"/>
    <w:rsid w:val="008619A9"/>
    <w:rsid w:val="00872B9D"/>
    <w:rsid w:val="008802CA"/>
    <w:rsid w:val="00880AF7"/>
    <w:rsid w:val="00881F86"/>
    <w:rsid w:val="00883F44"/>
    <w:rsid w:val="0088653D"/>
    <w:rsid w:val="00887F77"/>
    <w:rsid w:val="0089439E"/>
    <w:rsid w:val="008948AB"/>
    <w:rsid w:val="008A174F"/>
    <w:rsid w:val="008A1966"/>
    <w:rsid w:val="008A1F1B"/>
    <w:rsid w:val="008A6BFB"/>
    <w:rsid w:val="008B273A"/>
    <w:rsid w:val="008B2AEB"/>
    <w:rsid w:val="008B2B2B"/>
    <w:rsid w:val="008C3169"/>
    <w:rsid w:val="008D3712"/>
    <w:rsid w:val="008D5782"/>
    <w:rsid w:val="008E0417"/>
    <w:rsid w:val="008E709A"/>
    <w:rsid w:val="008F4533"/>
    <w:rsid w:val="008F52B6"/>
    <w:rsid w:val="008F5FD5"/>
    <w:rsid w:val="008F676D"/>
    <w:rsid w:val="009055B5"/>
    <w:rsid w:val="00907B7B"/>
    <w:rsid w:val="009114D1"/>
    <w:rsid w:val="00914C7D"/>
    <w:rsid w:val="00915C93"/>
    <w:rsid w:val="00921141"/>
    <w:rsid w:val="009251CC"/>
    <w:rsid w:val="00925E44"/>
    <w:rsid w:val="0093682D"/>
    <w:rsid w:val="0094160A"/>
    <w:rsid w:val="009422D4"/>
    <w:rsid w:val="00943192"/>
    <w:rsid w:val="00950859"/>
    <w:rsid w:val="00951869"/>
    <w:rsid w:val="009519EF"/>
    <w:rsid w:val="0095341A"/>
    <w:rsid w:val="0095748C"/>
    <w:rsid w:val="00961BF3"/>
    <w:rsid w:val="00963325"/>
    <w:rsid w:val="009637FF"/>
    <w:rsid w:val="00963DFC"/>
    <w:rsid w:val="00972E2C"/>
    <w:rsid w:val="00977892"/>
    <w:rsid w:val="0098056A"/>
    <w:rsid w:val="00982E3C"/>
    <w:rsid w:val="00983859"/>
    <w:rsid w:val="00983E3F"/>
    <w:rsid w:val="00985908"/>
    <w:rsid w:val="0099201D"/>
    <w:rsid w:val="00992E71"/>
    <w:rsid w:val="009A2D5C"/>
    <w:rsid w:val="009A373F"/>
    <w:rsid w:val="009A47B6"/>
    <w:rsid w:val="009B1234"/>
    <w:rsid w:val="009B16B3"/>
    <w:rsid w:val="009B6F9A"/>
    <w:rsid w:val="009B758C"/>
    <w:rsid w:val="009C3AE9"/>
    <w:rsid w:val="009C7895"/>
    <w:rsid w:val="009D4D38"/>
    <w:rsid w:val="009D514C"/>
    <w:rsid w:val="009D7A8D"/>
    <w:rsid w:val="009E132B"/>
    <w:rsid w:val="009E1ADD"/>
    <w:rsid w:val="009E48A8"/>
    <w:rsid w:val="009E5B29"/>
    <w:rsid w:val="009F1F1E"/>
    <w:rsid w:val="009F3935"/>
    <w:rsid w:val="009F6E7B"/>
    <w:rsid w:val="00A02D08"/>
    <w:rsid w:val="00A07331"/>
    <w:rsid w:val="00A10F23"/>
    <w:rsid w:val="00A1140D"/>
    <w:rsid w:val="00A12767"/>
    <w:rsid w:val="00A13B7A"/>
    <w:rsid w:val="00A13F83"/>
    <w:rsid w:val="00A16064"/>
    <w:rsid w:val="00A2196F"/>
    <w:rsid w:val="00A25D1D"/>
    <w:rsid w:val="00A3414F"/>
    <w:rsid w:val="00A406B9"/>
    <w:rsid w:val="00A40F85"/>
    <w:rsid w:val="00A42B8A"/>
    <w:rsid w:val="00A46E23"/>
    <w:rsid w:val="00A5035D"/>
    <w:rsid w:val="00A526B7"/>
    <w:rsid w:val="00A55F25"/>
    <w:rsid w:val="00A57763"/>
    <w:rsid w:val="00A61AA8"/>
    <w:rsid w:val="00A62589"/>
    <w:rsid w:val="00A6366F"/>
    <w:rsid w:val="00A655A9"/>
    <w:rsid w:val="00A65948"/>
    <w:rsid w:val="00A659DC"/>
    <w:rsid w:val="00A66169"/>
    <w:rsid w:val="00A76731"/>
    <w:rsid w:val="00A777FA"/>
    <w:rsid w:val="00A80BCB"/>
    <w:rsid w:val="00A80EEF"/>
    <w:rsid w:val="00A81225"/>
    <w:rsid w:val="00A826BE"/>
    <w:rsid w:val="00A849A6"/>
    <w:rsid w:val="00A86649"/>
    <w:rsid w:val="00A87E08"/>
    <w:rsid w:val="00A9106A"/>
    <w:rsid w:val="00A92F16"/>
    <w:rsid w:val="00A94388"/>
    <w:rsid w:val="00A94B40"/>
    <w:rsid w:val="00AA309D"/>
    <w:rsid w:val="00AA39EF"/>
    <w:rsid w:val="00AC1EBD"/>
    <w:rsid w:val="00AC23C5"/>
    <w:rsid w:val="00AC553F"/>
    <w:rsid w:val="00AC6B1F"/>
    <w:rsid w:val="00AD0CA8"/>
    <w:rsid w:val="00AD3C2D"/>
    <w:rsid w:val="00AD6E96"/>
    <w:rsid w:val="00AE1DBA"/>
    <w:rsid w:val="00AE528E"/>
    <w:rsid w:val="00AF3265"/>
    <w:rsid w:val="00AF6D7D"/>
    <w:rsid w:val="00AF7057"/>
    <w:rsid w:val="00AF7B89"/>
    <w:rsid w:val="00B0166E"/>
    <w:rsid w:val="00B02A66"/>
    <w:rsid w:val="00B03C41"/>
    <w:rsid w:val="00B10E8D"/>
    <w:rsid w:val="00B10F6A"/>
    <w:rsid w:val="00B1189F"/>
    <w:rsid w:val="00B1266C"/>
    <w:rsid w:val="00B1290E"/>
    <w:rsid w:val="00B14A4C"/>
    <w:rsid w:val="00B17225"/>
    <w:rsid w:val="00B31543"/>
    <w:rsid w:val="00B35725"/>
    <w:rsid w:val="00B40188"/>
    <w:rsid w:val="00B41888"/>
    <w:rsid w:val="00B4401C"/>
    <w:rsid w:val="00B45744"/>
    <w:rsid w:val="00B47CB7"/>
    <w:rsid w:val="00B52291"/>
    <w:rsid w:val="00B52E69"/>
    <w:rsid w:val="00B55F75"/>
    <w:rsid w:val="00B61429"/>
    <w:rsid w:val="00B62B9B"/>
    <w:rsid w:val="00B65F87"/>
    <w:rsid w:val="00B70FEF"/>
    <w:rsid w:val="00B71932"/>
    <w:rsid w:val="00B74E94"/>
    <w:rsid w:val="00B8337D"/>
    <w:rsid w:val="00B933BD"/>
    <w:rsid w:val="00BA04FA"/>
    <w:rsid w:val="00BA37D2"/>
    <w:rsid w:val="00BA66DE"/>
    <w:rsid w:val="00BA7BF6"/>
    <w:rsid w:val="00BB4347"/>
    <w:rsid w:val="00BC0529"/>
    <w:rsid w:val="00BC0E0E"/>
    <w:rsid w:val="00BC4D6B"/>
    <w:rsid w:val="00BC7D4F"/>
    <w:rsid w:val="00BD33D7"/>
    <w:rsid w:val="00BD3876"/>
    <w:rsid w:val="00BD65D5"/>
    <w:rsid w:val="00BE0954"/>
    <w:rsid w:val="00BE1986"/>
    <w:rsid w:val="00BE3DD1"/>
    <w:rsid w:val="00BE76AA"/>
    <w:rsid w:val="00BF0FA0"/>
    <w:rsid w:val="00BF1940"/>
    <w:rsid w:val="00BF3312"/>
    <w:rsid w:val="00BF3F9A"/>
    <w:rsid w:val="00BF537F"/>
    <w:rsid w:val="00BF6251"/>
    <w:rsid w:val="00BF70D0"/>
    <w:rsid w:val="00C00279"/>
    <w:rsid w:val="00C02E5A"/>
    <w:rsid w:val="00C03971"/>
    <w:rsid w:val="00C039BD"/>
    <w:rsid w:val="00C1034D"/>
    <w:rsid w:val="00C1104C"/>
    <w:rsid w:val="00C14003"/>
    <w:rsid w:val="00C146B4"/>
    <w:rsid w:val="00C17E65"/>
    <w:rsid w:val="00C21741"/>
    <w:rsid w:val="00C227E5"/>
    <w:rsid w:val="00C25380"/>
    <w:rsid w:val="00C270DD"/>
    <w:rsid w:val="00C27F25"/>
    <w:rsid w:val="00C303BE"/>
    <w:rsid w:val="00C30455"/>
    <w:rsid w:val="00C309C1"/>
    <w:rsid w:val="00C31C72"/>
    <w:rsid w:val="00C34B77"/>
    <w:rsid w:val="00C375E1"/>
    <w:rsid w:val="00C44C7E"/>
    <w:rsid w:val="00C454AE"/>
    <w:rsid w:val="00C46395"/>
    <w:rsid w:val="00C47586"/>
    <w:rsid w:val="00C511B4"/>
    <w:rsid w:val="00C52D83"/>
    <w:rsid w:val="00C54345"/>
    <w:rsid w:val="00C60EF9"/>
    <w:rsid w:val="00C66641"/>
    <w:rsid w:val="00C67551"/>
    <w:rsid w:val="00C71545"/>
    <w:rsid w:val="00C7540D"/>
    <w:rsid w:val="00C75E07"/>
    <w:rsid w:val="00C77927"/>
    <w:rsid w:val="00C8244D"/>
    <w:rsid w:val="00C85F6D"/>
    <w:rsid w:val="00C86C63"/>
    <w:rsid w:val="00C91633"/>
    <w:rsid w:val="00CA0D42"/>
    <w:rsid w:val="00CA12EC"/>
    <w:rsid w:val="00CA15B4"/>
    <w:rsid w:val="00CA1AC8"/>
    <w:rsid w:val="00CA4AE0"/>
    <w:rsid w:val="00CB1605"/>
    <w:rsid w:val="00CC011B"/>
    <w:rsid w:val="00CC047F"/>
    <w:rsid w:val="00CC4A43"/>
    <w:rsid w:val="00CC4E24"/>
    <w:rsid w:val="00CC5378"/>
    <w:rsid w:val="00CD2A2C"/>
    <w:rsid w:val="00CD6E75"/>
    <w:rsid w:val="00CD6F43"/>
    <w:rsid w:val="00CE5202"/>
    <w:rsid w:val="00CF025E"/>
    <w:rsid w:val="00CF4984"/>
    <w:rsid w:val="00CF4D65"/>
    <w:rsid w:val="00CF6EC2"/>
    <w:rsid w:val="00D01C98"/>
    <w:rsid w:val="00D03C78"/>
    <w:rsid w:val="00D049D5"/>
    <w:rsid w:val="00D05472"/>
    <w:rsid w:val="00D10060"/>
    <w:rsid w:val="00D10908"/>
    <w:rsid w:val="00D12C7B"/>
    <w:rsid w:val="00D169E0"/>
    <w:rsid w:val="00D20158"/>
    <w:rsid w:val="00D2211F"/>
    <w:rsid w:val="00D2227D"/>
    <w:rsid w:val="00D24582"/>
    <w:rsid w:val="00D271C9"/>
    <w:rsid w:val="00D31609"/>
    <w:rsid w:val="00D31AD6"/>
    <w:rsid w:val="00D337F2"/>
    <w:rsid w:val="00D33AAE"/>
    <w:rsid w:val="00D33CE8"/>
    <w:rsid w:val="00D43D17"/>
    <w:rsid w:val="00D50E64"/>
    <w:rsid w:val="00D5224A"/>
    <w:rsid w:val="00D576DC"/>
    <w:rsid w:val="00D61882"/>
    <w:rsid w:val="00D64627"/>
    <w:rsid w:val="00D64744"/>
    <w:rsid w:val="00D65631"/>
    <w:rsid w:val="00D67E4C"/>
    <w:rsid w:val="00D741D9"/>
    <w:rsid w:val="00D855CA"/>
    <w:rsid w:val="00D86892"/>
    <w:rsid w:val="00D87ACB"/>
    <w:rsid w:val="00D90B14"/>
    <w:rsid w:val="00D924F4"/>
    <w:rsid w:val="00D9394E"/>
    <w:rsid w:val="00DA15F2"/>
    <w:rsid w:val="00DA4345"/>
    <w:rsid w:val="00DA7388"/>
    <w:rsid w:val="00DB05CA"/>
    <w:rsid w:val="00DB2C49"/>
    <w:rsid w:val="00DB4AAD"/>
    <w:rsid w:val="00DB5D55"/>
    <w:rsid w:val="00DB6A5A"/>
    <w:rsid w:val="00DB7367"/>
    <w:rsid w:val="00DC1C34"/>
    <w:rsid w:val="00DC59C2"/>
    <w:rsid w:val="00DD1B79"/>
    <w:rsid w:val="00DD2980"/>
    <w:rsid w:val="00DD3691"/>
    <w:rsid w:val="00DE3598"/>
    <w:rsid w:val="00DE35CC"/>
    <w:rsid w:val="00DE5440"/>
    <w:rsid w:val="00DF4D3F"/>
    <w:rsid w:val="00E024E4"/>
    <w:rsid w:val="00E03D7B"/>
    <w:rsid w:val="00E11445"/>
    <w:rsid w:val="00E20A5E"/>
    <w:rsid w:val="00E217BB"/>
    <w:rsid w:val="00E23375"/>
    <w:rsid w:val="00E30073"/>
    <w:rsid w:val="00E302C2"/>
    <w:rsid w:val="00E30553"/>
    <w:rsid w:val="00E313BE"/>
    <w:rsid w:val="00E31C71"/>
    <w:rsid w:val="00E33F27"/>
    <w:rsid w:val="00E37B9E"/>
    <w:rsid w:val="00E431A8"/>
    <w:rsid w:val="00E45694"/>
    <w:rsid w:val="00E5371B"/>
    <w:rsid w:val="00E656F9"/>
    <w:rsid w:val="00E657C6"/>
    <w:rsid w:val="00E66095"/>
    <w:rsid w:val="00E701B0"/>
    <w:rsid w:val="00E742FF"/>
    <w:rsid w:val="00E7573D"/>
    <w:rsid w:val="00E7683C"/>
    <w:rsid w:val="00E77017"/>
    <w:rsid w:val="00E77216"/>
    <w:rsid w:val="00E773CB"/>
    <w:rsid w:val="00E80559"/>
    <w:rsid w:val="00E84265"/>
    <w:rsid w:val="00E86629"/>
    <w:rsid w:val="00E90AD1"/>
    <w:rsid w:val="00E94296"/>
    <w:rsid w:val="00EA07EE"/>
    <w:rsid w:val="00EA1A61"/>
    <w:rsid w:val="00EA464A"/>
    <w:rsid w:val="00EA7B3A"/>
    <w:rsid w:val="00EB191D"/>
    <w:rsid w:val="00EB4359"/>
    <w:rsid w:val="00EB72AB"/>
    <w:rsid w:val="00EB7D17"/>
    <w:rsid w:val="00EC2A3E"/>
    <w:rsid w:val="00ED731C"/>
    <w:rsid w:val="00EE209A"/>
    <w:rsid w:val="00EE4C81"/>
    <w:rsid w:val="00EF5E6B"/>
    <w:rsid w:val="00EF645D"/>
    <w:rsid w:val="00EF693B"/>
    <w:rsid w:val="00EF6C6D"/>
    <w:rsid w:val="00EF7663"/>
    <w:rsid w:val="00F00C07"/>
    <w:rsid w:val="00F0176B"/>
    <w:rsid w:val="00F024ED"/>
    <w:rsid w:val="00F06767"/>
    <w:rsid w:val="00F109B2"/>
    <w:rsid w:val="00F17426"/>
    <w:rsid w:val="00F17D27"/>
    <w:rsid w:val="00F204D7"/>
    <w:rsid w:val="00F21FD5"/>
    <w:rsid w:val="00F24FB5"/>
    <w:rsid w:val="00F25CC7"/>
    <w:rsid w:val="00F26A8D"/>
    <w:rsid w:val="00F31D2B"/>
    <w:rsid w:val="00F33859"/>
    <w:rsid w:val="00F351BE"/>
    <w:rsid w:val="00F3644E"/>
    <w:rsid w:val="00F407B3"/>
    <w:rsid w:val="00F40E2A"/>
    <w:rsid w:val="00F42EE5"/>
    <w:rsid w:val="00F440C1"/>
    <w:rsid w:val="00F45073"/>
    <w:rsid w:val="00F45EBB"/>
    <w:rsid w:val="00F474A5"/>
    <w:rsid w:val="00F61341"/>
    <w:rsid w:val="00F62DF9"/>
    <w:rsid w:val="00F640D9"/>
    <w:rsid w:val="00F723D9"/>
    <w:rsid w:val="00F73884"/>
    <w:rsid w:val="00F76989"/>
    <w:rsid w:val="00F77975"/>
    <w:rsid w:val="00F779E6"/>
    <w:rsid w:val="00F80366"/>
    <w:rsid w:val="00F82086"/>
    <w:rsid w:val="00F83C75"/>
    <w:rsid w:val="00F865AC"/>
    <w:rsid w:val="00F9259B"/>
    <w:rsid w:val="00F952D1"/>
    <w:rsid w:val="00FB00BA"/>
    <w:rsid w:val="00FB54B8"/>
    <w:rsid w:val="00FB7CC5"/>
    <w:rsid w:val="00FC4283"/>
    <w:rsid w:val="00FD7111"/>
    <w:rsid w:val="00FE69A5"/>
    <w:rsid w:val="00FF2F05"/>
    <w:rsid w:val="00FF55C5"/>
    <w:rsid w:val="1EC51104"/>
    <w:rsid w:val="2BF33ED2"/>
    <w:rsid w:val="3DE3534B"/>
    <w:rsid w:val="52FF197A"/>
    <w:rsid w:val="6B576A3E"/>
    <w:rsid w:val="75066F24"/>
    <w:rsid w:val="B37FFE4F"/>
    <w:rsid w:val="FB3FFFB7"/>
    <w:rsid w:val="FFF74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t">
      <v:fill on="f" focussize="0,0"/>
      <v:stroke weight="0.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8"/>
      <w:szCs w:val="24"/>
      <w:lang w:val="en-US" w:eastAsia="zh-CN" w:bidi="ar-SA"/>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Body Text"/>
    <w:basedOn w:val="1"/>
    <w:uiPriority w:val="0"/>
    <w:pPr>
      <w:spacing w:line="520" w:lineRule="exact"/>
    </w:pPr>
    <w:rPr>
      <w:rFonts w:ascii="仿宋_GB2312" w:eastAsia="华文中宋"/>
      <w:b/>
      <w:bCs/>
      <w:color w:val="FF0000"/>
      <w:sz w:val="48"/>
    </w:rPr>
  </w:style>
  <w:style w:type="paragraph" w:styleId="3">
    <w:name w:val="Body Text Indent"/>
    <w:basedOn w:val="1"/>
    <w:uiPriority w:val="0"/>
    <w:pPr>
      <w:tabs>
        <w:tab w:val="left" w:pos="720"/>
      </w:tabs>
      <w:spacing w:line="240" w:lineRule="atLeast"/>
      <w:ind w:firstLine="420"/>
    </w:pPr>
    <w:rPr>
      <w:rFonts w:ascii="仿宋_GB2312" w:eastAsia="仿宋_GB2312"/>
      <w:sz w:val="32"/>
    </w:rPr>
  </w:style>
  <w:style w:type="paragraph" w:styleId="4">
    <w:name w:val="Plain Text"/>
    <w:basedOn w:val="1"/>
    <w:uiPriority w:val="0"/>
    <w:rPr>
      <w:rFonts w:ascii="宋体" w:hAnsi="Courier New" w:cs="Courier New"/>
      <w:sz w:val="21"/>
      <w:szCs w:val="21"/>
    </w:rPr>
  </w:style>
  <w:style w:type="paragraph" w:styleId="5">
    <w:name w:val="Date"/>
    <w:basedOn w:val="1"/>
    <w:next w:val="1"/>
    <w:uiPriority w:val="0"/>
    <w:pPr>
      <w:ind w:left="100" w:leftChars="2500"/>
    </w:pPr>
    <w:rPr>
      <w:rFonts w:ascii="仿宋_GB2312" w:eastAsia="仿宋_GB2312"/>
      <w:sz w:val="32"/>
    </w:rPr>
  </w:style>
  <w:style w:type="paragraph" w:styleId="6">
    <w:name w:val="Body Text Indent 2"/>
    <w:basedOn w:val="1"/>
    <w:uiPriority w:val="0"/>
    <w:pPr>
      <w:ind w:firstLine="640" w:firstLineChars="200"/>
    </w:pPr>
    <w:rPr>
      <w:rFonts w:ascii="仿宋_GB2312" w:hAnsi="宋体" w:eastAsia="仿宋_GB2312"/>
      <w:sz w:val="32"/>
    </w:rPr>
  </w:style>
  <w:style w:type="paragraph" w:styleId="7">
    <w:name w:val="Balloon Text"/>
    <w:basedOn w:val="1"/>
    <w:link w:val="20"/>
    <w:uiPriority w:val="0"/>
    <w:rPr>
      <w:sz w:val="18"/>
      <w:szCs w:val="18"/>
    </w:rPr>
  </w:style>
  <w:style w:type="paragraph" w:styleId="8">
    <w:name w:val="footer"/>
    <w:basedOn w:val="1"/>
    <w:link w:val="19"/>
    <w:uiPriority w:val="0"/>
    <w:pPr>
      <w:tabs>
        <w:tab w:val="center" w:pos="4153"/>
        <w:tab w:val="right" w:pos="8306"/>
      </w:tabs>
      <w:snapToGrid w:val="0"/>
      <w:jc w:val="left"/>
    </w:pPr>
    <w:rPr>
      <w:sz w:val="18"/>
      <w:szCs w:val="18"/>
    </w:rPr>
  </w:style>
  <w:style w:type="paragraph" w:styleId="9">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spacing w:line="520" w:lineRule="exact"/>
      <w:ind w:firstLine="10090" w:firstLineChars="1400"/>
    </w:pPr>
    <w:rPr>
      <w:rFonts w:ascii="仿宋_GB2312" w:eastAsia="华文中宋"/>
      <w:b/>
      <w:bCs/>
      <w:sz w:val="72"/>
    </w:rPr>
  </w:style>
  <w:style w:type="paragraph" w:styleId="11">
    <w:name w:val="toc 2"/>
    <w:basedOn w:val="1"/>
    <w:next w:val="1"/>
    <w:qFormat/>
    <w:uiPriority w:val="0"/>
    <w:pPr>
      <w:ind w:left="420" w:leftChars="200"/>
    </w:pPr>
    <w:rPr>
      <w:rFonts w:ascii="Calibri" w:hAnsi="Calibri"/>
      <w:sz w:val="21"/>
    </w:rPr>
  </w:style>
  <w:style w:type="paragraph" w:styleId="12">
    <w:name w:val="Normal (Web)"/>
    <w:basedOn w:val="1"/>
    <w:uiPriority w:val="0"/>
    <w:pPr>
      <w:widowControl/>
      <w:spacing w:before="100" w:beforeAutospacing="1" w:after="100" w:afterAutospacing="1"/>
      <w:jc w:val="left"/>
    </w:pPr>
    <w:rPr>
      <w:rFonts w:ascii="宋体" w:hAnsi="宋体"/>
      <w:color w:val="000000"/>
      <w:kern w:val="0"/>
      <w:sz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Hyperlink"/>
    <w:uiPriority w:val="0"/>
    <w:rPr>
      <w:color w:val="0000FF"/>
      <w:u w:val="single"/>
    </w:rPr>
  </w:style>
  <w:style w:type="character" w:customStyle="1" w:styleId="18">
    <w:name w:val=" Char Char1"/>
    <w:link w:val="9"/>
    <w:uiPriority w:val="0"/>
    <w:rPr>
      <w:rFonts w:eastAsia="宋体"/>
      <w:kern w:val="2"/>
      <w:sz w:val="18"/>
      <w:szCs w:val="18"/>
      <w:lang w:val="en-US" w:eastAsia="zh-CN" w:bidi="ar-SA"/>
    </w:rPr>
  </w:style>
  <w:style w:type="character" w:customStyle="1" w:styleId="19">
    <w:name w:val=" Char Char"/>
    <w:link w:val="8"/>
    <w:uiPriority w:val="0"/>
    <w:rPr>
      <w:rFonts w:eastAsia="宋体"/>
      <w:kern w:val="2"/>
      <w:sz w:val="18"/>
      <w:szCs w:val="18"/>
      <w:lang w:val="en-US" w:eastAsia="zh-CN" w:bidi="ar-SA"/>
    </w:rPr>
  </w:style>
  <w:style w:type="character" w:customStyle="1" w:styleId="20">
    <w:name w:val=" Char Char2"/>
    <w:link w:val="7"/>
    <w:uiPriority w:val="0"/>
    <w:rPr>
      <w:kern w:val="2"/>
      <w:sz w:val="18"/>
      <w:szCs w:val="18"/>
    </w:rPr>
  </w:style>
  <w:style w:type="paragraph" w:customStyle="1" w:styleId="21">
    <w:name w:val="Default"/>
    <w:basedOn w:val="1"/>
    <w:uiPriority w:val="0"/>
    <w:pPr>
      <w:autoSpaceDE w:val="0"/>
      <w:autoSpaceDN w:val="0"/>
      <w:adjustRightInd w:val="0"/>
      <w:jc w:val="left"/>
    </w:pPr>
    <w:rPr>
      <w:rFonts w:ascii="方正小标宋简体" w:hAnsi="宋体" w:eastAsia="方正小标宋简体"/>
      <w:color w:val="000000"/>
      <w:kern w:val="0"/>
      <w:sz w:val="24"/>
    </w:rPr>
  </w:style>
  <w:style w:type="paragraph" w:customStyle="1" w:styleId="22">
    <w:name w:val=" Char"/>
    <w:basedOn w:val="1"/>
    <w:uiPriority w:val="0"/>
    <w:pPr>
      <w:widowControl/>
      <w:spacing w:after="160" w:line="240" w:lineRule="exact"/>
      <w:jc w:val="left"/>
    </w:pPr>
    <w:rPr>
      <w:rFonts w:ascii="Verdana" w:hAnsi="Verdana" w:eastAsia="仿宋_GB2312"/>
      <w:kern w:val="0"/>
      <w:sz w:val="30"/>
      <w:szCs w:val="30"/>
      <w:lang w:eastAsia="en-US"/>
    </w:rPr>
  </w:style>
  <w:style w:type="paragraph" w:customStyle="1" w:styleId="23">
    <w:name w:val="p0"/>
    <w:basedOn w:val="1"/>
    <w:uiPriority w:val="0"/>
    <w:pPr>
      <w:widowControl/>
    </w:pPr>
    <w:rPr>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xx</Company>
  <Pages>1</Pages>
  <Words>925</Words>
  <Characters>5276</Characters>
  <Lines>43</Lines>
  <Paragraphs>12</Paragraphs>
  <TotalTime>1</TotalTime>
  <ScaleCrop>false</ScaleCrop>
  <LinksUpToDate>false</LinksUpToDate>
  <CharactersWithSpaces>6189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2022-04-21T15:37:00Z</dcterms:created>
  <dc:creator>lenovo</dc:creator>
  <cp:lastModifiedBy>黄起悦</cp:lastModifiedBy>
  <cp:lastPrinted>2022-04-21T15:53:00Z</cp:lastPrinted>
  <dcterms:modified xsi:type="dcterms:W3CDTF">2023-05-12T19:23:13Z</dcterms:modified>
  <dc:title>联合报联合发</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