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600" w:beforeAutospacing="0" w:after="600" w:afterAutospacing="0" w:line="560" w:lineRule="exact"/>
        <w:ind w:left="0" w:right="0"/>
        <w:jc w:val="center"/>
        <w:rPr>
          <w:sz w:val="45"/>
          <w:szCs w:val="45"/>
        </w:rPr>
      </w:pPr>
      <w:r>
        <w:rPr>
          <w:sz w:val="45"/>
          <w:szCs w:val="45"/>
          <w:shd w:val="clear" w:fill="FFFFFF"/>
        </w:rPr>
        <w:t>退役军人事务部联合财政部、税务总局出台进一步扶持自主就业退役士兵创业就业有关税收政策（附政策全文）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42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财政部、税务总局、退役军人部2月2日联合发布《关于进一步扶持自主就业退役士兵创业就业有关税收政策的通知》(以下简称《通知》)。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通知》明确，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通知》提出，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通知》指出，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通知》称，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自主就业退役士兵在企业工作不满1年的，应当按月换算减免税限额。计算公式为：企业核算减免税总额=Σ每名自主就业退役士兵本年度在本单位工作月份÷12×具体定额标准。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480"/>
        <w:jc w:val="left"/>
        <w:textAlignment w:val="baseline"/>
        <w:rPr>
          <w:rFonts w:hint="eastAsia" w:ascii="宋体" w:hAnsi="宋体" w:eastAsia="宋体" w:cs="宋体"/>
          <w:caps w:val="0"/>
          <w:color w:val="000000"/>
          <w:spacing w:val="0"/>
          <w:sz w:val="24"/>
          <w:szCs w:val="24"/>
          <w:bdr w:val="none" w:color="auto" w:sz="0" w:space="0"/>
          <w:shd w:val="clear" w:fill="FFFFFF"/>
          <w:vertAlign w:val="baseline"/>
        </w:rPr>
      </w:pPr>
      <w:r>
        <w:rPr>
          <w:rFonts w:hint="eastAsia" w:ascii="宋体" w:hAnsi="宋体" w:eastAsia="宋体" w:cs="宋体"/>
          <w:caps w:val="0"/>
          <w:color w:val="000000"/>
          <w:spacing w:val="0"/>
          <w:sz w:val="24"/>
          <w:szCs w:val="24"/>
          <w:bdr w:val="none" w:color="auto" w:sz="0" w:space="0"/>
          <w:shd w:val="clear" w:fill="FFFFFF"/>
          <w:vertAlign w:val="baseline"/>
        </w:rPr>
        <w:t>城市维护建设税、教育费附加、地方教育附加的计税依据是享受本项税收优惠政策前的增值税应纳税额。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480"/>
        <w:jc w:val="left"/>
        <w:textAlignment w:val="baseline"/>
        <w:rPr>
          <w:rFonts w:hint="eastAsia" w:ascii="宋体" w:hAnsi="宋体" w:eastAsia="宋体" w:cs="宋体"/>
          <w:caps w:val="0"/>
          <w:color w:val="000000"/>
          <w:spacing w:val="0"/>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480"/>
        <w:jc w:val="left"/>
        <w:textAlignment w:val="baseline"/>
        <w:rPr>
          <w:rFonts w:hint="eastAsia" w:ascii="宋体" w:hAnsi="宋体" w:eastAsia="宋体" w:cs="宋体"/>
          <w:caps w:val="0"/>
          <w:color w:val="000000"/>
          <w:spacing w:val="0"/>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480"/>
        <w:jc w:val="left"/>
        <w:textAlignment w:val="baseline"/>
        <w:rPr>
          <w:rFonts w:hint="eastAsia" w:ascii="宋体" w:hAnsi="宋体" w:eastAsia="宋体" w:cs="宋体"/>
          <w:caps w:val="0"/>
          <w:color w:val="000000"/>
          <w:spacing w:val="0"/>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480"/>
        <w:jc w:val="left"/>
        <w:textAlignment w:val="baseline"/>
        <w:rPr>
          <w:rFonts w:hint="eastAsia" w:ascii="宋体" w:hAnsi="宋体" w:eastAsia="宋体" w:cs="宋体"/>
          <w:caps w:val="0"/>
          <w:color w:val="000000"/>
          <w:spacing w:val="0"/>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baseline"/>
        <w:rPr>
          <w:rFonts w:hint="eastAsia" w:ascii="宋体" w:hAnsi="宋体" w:eastAsia="宋体" w:cs="宋体"/>
          <w:caps w:val="0"/>
          <w:color w:val="000000"/>
          <w:spacing w:val="0"/>
          <w:sz w:val="24"/>
          <w:szCs w:val="24"/>
        </w:rPr>
      </w:pPr>
      <w:r>
        <w:rPr>
          <w:rStyle w:val="8"/>
          <w:rFonts w:hint="eastAsia" w:ascii="宋体" w:hAnsi="宋体" w:eastAsia="宋体" w:cs="宋体"/>
          <w:caps w:val="0"/>
          <w:color w:val="000000"/>
          <w:spacing w:val="0"/>
          <w:sz w:val="31"/>
          <w:szCs w:val="31"/>
          <w:bdr w:val="none" w:color="auto" w:sz="0" w:space="0"/>
          <w:shd w:val="clear" w:fill="FFFFFF"/>
          <w:vertAlign w:val="baseline"/>
        </w:rPr>
        <w:t>关于进一步扶持自主就业退役士兵创业就业有关税收政策的通知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baseline"/>
        <w:rPr>
          <w:rFonts w:hint="eastAsia" w:ascii="宋体" w:hAnsi="宋体" w:eastAsia="宋体" w:cs="宋体"/>
          <w:caps w:val="0"/>
          <w:color w:val="000000"/>
          <w:spacing w:val="0"/>
          <w:sz w:val="24"/>
          <w:szCs w:val="24"/>
        </w:rPr>
      </w:pPr>
      <w:r>
        <w:rPr>
          <w:rStyle w:val="8"/>
          <w:rFonts w:hint="eastAsia" w:ascii="宋体" w:hAnsi="宋体" w:eastAsia="宋体" w:cs="宋体"/>
          <w:caps w:val="0"/>
          <w:color w:val="000000"/>
          <w:spacing w:val="0"/>
          <w:sz w:val="24"/>
          <w:szCs w:val="24"/>
          <w:bdr w:val="none" w:color="auto" w:sz="0" w:space="0"/>
          <w:shd w:val="clear" w:fill="FFFFFF"/>
          <w:vertAlign w:val="baseline"/>
        </w:rPr>
        <w:t>财税〔2019〕21号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各省、自治区、直辖市、计划单列市财政厅（局）、退役军人事务厅（局），国家税务总局各省、自治区、直辖市、计划单列市税务局，新疆生产建设兵团财政局：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为进一步扶持自主就业退役士兵创业就业，现将有关税收政策通知如下: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一、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二、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自主就业退役士兵在企业工作不满1年的，应当按月换算减免税限额。计算公式为：企业核算减免税总额=Σ每名自主就业退役士兵本年度在本单位工作月份÷12×具体定额标准。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城市维护建设税、教育费附加、地方教育附加的计税依据是享受本项税收优惠政策前的增值税应纳税额。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三、本通知所称自主就业退役士兵是指依照《退役士兵安置条例》（国务院 中央军委令第608号）的规定退出现役并按自主就业方式安置的退役士兵。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本通知所称企业是指属于增值税纳税人或企业所得税纳税人的企业等单位。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四、自主就业退役士兵从事个体经营的，在享受税收优惠政策进行纳税申报时，注明其退役军人身份，并将《中国人民解放军义务兵退出现役证》《中国人民解放军士官退出现役证》或《中国人民武装警察部队义务兵退出现役证》《中国人民武装警察部队士官退出现役证》留存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企业招用自主就业退役士兵享受税收优惠政策的，将以下资料留存备查：l.招用自主就业退役士兵的《中国人民解放军义务兵退出现役证》《中国人民解放军士官退出现役证》或《中国人民武装警察部队义务兵退出现役证》《中国人民武装警察部队士官退出现役证》；2.企业与招用自主就业退役士兵签订的劳动合同（副本），为职工缴纳的社会保险费记录；3.自主就业退役士兵本年度在企业工作时间表(见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五、企业招用自主就业退役士兵既可以适用本通知规定的税收优惠政策，又可以适用其他扶持就业专项税收优惠政策的，企业可以选择适用最优惠的政策，但不得重复享受。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六、本通知规定的税收政策执行期限为2019年1月1日至2021年12月31日。纳税人在2021年12月31日享受本通知规定税收优惠政策未满3年的，可继续享受至3年期满为止。《财政部 税务总局 民政部关于继续实施扶持自主就业退役士兵创业就业有关税收政策的通知》（财税〔2017〕46号）自2019年1月1日起停止执行。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退役士兵以前年度已享受退役士兵创业就业税收优惠政策满3年的，不得再享受本通知规定的税收优惠政策；以前年度享受退役士兵创业就业税收优惠政策未满3年且符合本通知规定条件的，可按本通知规定享受优惠至3年期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各地财政、税务、退役军人事务部门要加强领导、周密部署，把扶持自主就业退役士兵创业就业工作作为一项重要任务，主动做好政策宣传和解释工作，加强部门间的协调配合，确保政策落实到位。同时，要密切关注税收政策的执行情况，对发现的问题及时逐级向财政部、税务总局、退役军人部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lef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righ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财  政  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righ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税 务 总 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righ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　　</w:t>
      </w:r>
      <w:r>
        <w:rPr>
          <w:rFonts w:hint="eastAsia" w:ascii="宋体" w:hAnsi="宋体" w:eastAsia="宋体" w:cs="宋体"/>
          <w:caps w:val="0"/>
          <w:color w:val="000000"/>
          <w:spacing w:val="0"/>
          <w:sz w:val="24"/>
          <w:szCs w:val="24"/>
          <w:bdr w:val="none" w:color="auto" w:sz="0" w:space="0"/>
          <w:shd w:val="clear" w:fill="FFFFFF"/>
          <w:vertAlign w:val="baseline"/>
          <w:lang w:val="en-US" w:eastAsia="zh-CN"/>
        </w:rPr>
        <w:t xml:space="preserve"> </w:t>
      </w:r>
      <w:r>
        <w:rPr>
          <w:rFonts w:hint="eastAsia" w:ascii="宋体" w:hAnsi="宋体" w:eastAsia="宋体" w:cs="宋体"/>
          <w:caps w:val="0"/>
          <w:color w:val="000000"/>
          <w:spacing w:val="0"/>
          <w:sz w:val="24"/>
          <w:szCs w:val="24"/>
          <w:bdr w:val="none" w:color="auto" w:sz="0" w:space="0"/>
          <w:shd w:val="clear" w:fill="FFFFFF"/>
          <w:vertAlign w:val="baseline"/>
        </w:rPr>
        <w:t>退役军人事务部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right"/>
        <w:textAlignment w:val="baseline"/>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shd w:val="clear" w:fill="FFFFFF"/>
          <w:vertAlign w:val="baseline"/>
        </w:rPr>
        <w:t>2019年2月2日     </w:t>
      </w:r>
    </w:p>
    <w:p>
      <w:pPr>
        <w:keepNext w:val="0"/>
        <w:keepLines w:val="0"/>
        <w:pageBreakBefore w:val="0"/>
        <w:kinsoku/>
        <w:wordWrap/>
        <w:overflowPunct/>
        <w:topLinePunct w:val="0"/>
        <w:autoSpaceDE/>
        <w:autoSpaceDN/>
        <w:bidi w:val="0"/>
        <w:adjustRightInd/>
        <w:snapToGrid/>
        <w:spacing w:line="560" w:lineRule="exact"/>
      </w:pPr>
      <w:bookmarkStart w:id="0" w:name="_GoBack"/>
      <w:bookmarkEnd w:id="0"/>
    </w:p>
    <w:sectPr>
      <w:footerReference r:id="rId3" w:type="default"/>
      <w:pgSz w:w="11906" w:h="16838"/>
      <w:pgMar w:top="2098" w:right="1474" w:bottom="1984" w:left="147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B4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33333"/>
      <w:u w:val="none"/>
    </w:rPr>
  </w:style>
  <w:style w:type="character" w:styleId="10">
    <w:name w:val="Hyperlink"/>
    <w:basedOn w:val="7"/>
    <w:uiPriority w:val="0"/>
    <w:rPr>
      <w:color w:val="333333"/>
      <w:u w:val="none"/>
    </w:rPr>
  </w:style>
  <w:style w:type="character" w:customStyle="1" w:styleId="11">
    <w:name w:val="layui-layer-tabnow"/>
    <w:basedOn w:val="7"/>
    <w:uiPriority w:val="0"/>
    <w:rPr>
      <w:bdr w:val="single" w:color="CCCCCC" w:sz="6" w:space="0"/>
      <w:shd w:val="clear" w:fill="FFFFFF"/>
    </w:rPr>
  </w:style>
  <w:style w:type="character" w:customStyle="1" w:styleId="12">
    <w:name w:val="hover"/>
    <w:basedOn w:val="7"/>
    <w:uiPriority w:val="0"/>
    <w:rPr>
      <w:color w:val="014D8A"/>
    </w:rPr>
  </w:style>
  <w:style w:type="character" w:customStyle="1" w:styleId="13">
    <w:name w:val="layui-laypage-curr"/>
    <w:basedOn w:val="7"/>
    <w:uiPriority w:val="0"/>
    <w:rPr>
      <w:bdr w:val="none" w:color="auto" w:sz="0" w:space="0"/>
    </w:rPr>
  </w:style>
  <w:style w:type="character" w:customStyle="1" w:styleId="14">
    <w:name w:val="first-child"/>
    <w:basedOn w:val="7"/>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办公室-陈金泉</cp:lastModifiedBy>
  <dcterms:modified xsi:type="dcterms:W3CDTF">2020-01-07T03:14:14Z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