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00" w:beforeAutospacing="0" w:after="600" w:afterAutospacing="0" w:line="560" w:lineRule="exact"/>
        <w:ind w:left="0" w:right="0"/>
        <w:jc w:val="center"/>
        <w:textAlignment w:val="auto"/>
        <w:rPr>
          <w:sz w:val="45"/>
          <w:szCs w:val="45"/>
        </w:rPr>
      </w:pPr>
      <w:r>
        <w:rPr>
          <w:sz w:val="45"/>
          <w:szCs w:val="45"/>
          <w:shd w:val="clear" w:fill="FFFFFF"/>
        </w:rPr>
        <w:t>伤残抚恤管理办法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ascii="微软雅黑" w:hAnsi="微软雅黑" w:eastAsia="微软雅黑" w:cs="微软雅黑"/>
          <w:sz w:val="24"/>
          <w:szCs w:val="24"/>
          <w:bdr w:val="none" w:color="auto" w:sz="0" w:space="0"/>
          <w:shd w:val="clear" w:fill="FFFFFF"/>
        </w:rPr>
        <w:t>中华人民共和国退役军人事务部令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Fonts w:hint="eastAsia" w:ascii="微软雅黑" w:hAnsi="微软雅黑" w:eastAsia="微软雅黑" w:cs="微软雅黑"/>
          <w:sz w:val="24"/>
          <w:szCs w:val="24"/>
          <w:bdr w:val="none" w:color="auto" w:sz="0" w:space="0"/>
          <w:shd w:val="clear" w:fill="FFFFFF"/>
        </w:rPr>
        <w:t>第 1 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《伤残抚恤管理办法》已经退役军人事务部部务会议审议通过，现予公布，自2020年2月1日起施行。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　　部长 孙绍骋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right"/>
        <w:textAlignment w:val="auto"/>
      </w:pPr>
      <w:r>
        <w:rPr>
          <w:rFonts w:hint="eastAsia" w:ascii="微软雅黑" w:hAnsi="微软雅黑" w:eastAsia="微软雅黑" w:cs="微软雅黑"/>
          <w:sz w:val="24"/>
          <w:szCs w:val="24"/>
          <w:bdr w:val="none" w:color="auto" w:sz="0" w:space="0"/>
          <w:shd w:val="clear" w:fill="FFFFFF"/>
        </w:rPr>
        <w:t>　　2019年12月16日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rPr>
          <w:rStyle w:val="8"/>
          <w:rFonts w:hint="eastAsia" w:ascii="微软雅黑" w:hAnsi="微软雅黑" w:eastAsia="微软雅黑" w:cs="微软雅黑"/>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伤残抚恤管理办法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（2007年7月31日民政部令第34号公布  根据2013年7月5日《民政部关于修改〈伤残抚恤管理办法〉的决定》修订  2019年12月16日退役军人事务部令第1号修订）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第一条　为了规范和加强退役军人事务部门管理的伤残抚恤工作，根据《军人抚恤优待条例》等法规，制定本办法。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第二条　本办法适用于符合下列情况的中国公民：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（一）在服役期间因战因公致残退出现役的军人，在服役期间因病评定了残疾等级退出现役的残疾军人；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（二）因战因公负伤时为行政编制的人民警察；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（三）因参战、参加军事演习、军事训练和执行军事勤务致残的预备役人员、民兵、民工以及其他人员；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（四）为维护社会治安同违法犯罪分子进行斗争致残的人员；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（五）为抢救和保护国家财产、人民生命财产致残的人员；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（六）法律、行政法规规定应当由退役军人事务部门负责伤残抚恤的其他人员。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前款所列第（三）、第（四）、第（五）项人员根据《工伤保险条例》应当认定视同工伤的，不再办理因战、因公伤残抚恤。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第三条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第四条　伤残抚恤工作应当遵循公开、公平、公正的原则。县级人民政府退役军人事务部门应当公布有关评残程序和抚恤金标准。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第二章　残疾等级评定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第五条　评定残疾等级包括新办评定残疾等级、补办评定残疾等级、调整残疾等级。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新办评定残疾等级是指对本办法第二条第一款第（一）项以外的人员认定因战因公残疾性质，评定残疾等级。补办评定残疾等级是指对现役军人因战因公致残未能及时评定残疾等级，在退出现役后依据《军人抚恤优待条例》的规定，认定因战因公残疾性质、评定残疾等级。调整残疾等级是指对已经评定残疾等级，因原致残部位残疾情况变化与原评定的残疾等级明显不符的人员调整残疾等级级别，对达不到最低评残标准的可以取消其残疾等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属于新办评定残疾等级的，申请人应当在因战因公负伤或者被诊断、鉴定为职业病3年内提出申请；属于调整残疾等级的，应当在上一次评定残疾等级1年后提出申请。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第六条　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没有工作单位的或者以原致残部位申请评定残疾等级的，可以直接向户籍地县级人民政府退役军人事务部门提出申请。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第七条  申请人申请评定残疾等级，应当提供以下真实确切材料：书面申请，身份证或者居民户口簿复印件，退役军人证（退役军人登记表）、人民警察证等证件复印件，本人近期二寸免冠彩色照片。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医疗诊断证明应包括加盖出具单位相关印章的门诊病历原件、住院病历复印件及相关检查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申请补办评定残疾等级，应当提交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申请调整残疾等级，应当提交近6个月内在二级甲等以上医院的就诊病历及医院检查报告、诊断结论等。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第八条　县级人民政府退役军人事务部门对报送的有关材料进行核对，对材料不全或者材料不符合法定形式的应当告知申请人补充材料。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人民政府退役军人事务部门对本办法第二条第一款第（一）项人员，经审查认为不符合因战因公负伤条件的，或者经医疗卫生专家小组鉴定达不到补评或者调整残疾等级标准的，应当根据《军人抚恤优待条例》相关规定逐级上报省级人民政府退役军人事务部门。对本办法第二条第一款第（一）项以外的人员，经审查认为不符合因战因公负伤条件的，或者经医疗卫生专家小组鉴定达不到新评或者调整残疾等级标准的，应当填写《残疾等级评定结果告知书》，连同申请人提供的材料，退还申请人或者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第九条　设区的市级人民政府退役军人事务部门对报送的材料审查后，在《残疾等级评定审批表》上签署意见，并加盖印章。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对符合条件的，于收到材料之日起20个工作日内，将上述材料报送省级人民政府退役军人事务部门。对不符合条件的，属于本办法第二条第一款第（一）项人员，根据《军人抚恤优待条例》相关规定上报省级人民政府退役军人事务部门；属于本办法第二条第一款第（一）项以外的人员，填写《残疾等级评定结果告知书》，连同申请人提供的材料，逐级退还申请人或者其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第十条　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第十一条　申请人或者退役军人事务部门对医疗卫生专家小组作出的残疾等级医学鉴定意见有异议的，可以到省级人民政府退役军人事务部门指定的医疗卫生机构重新进行鉴定。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省级人民政府退役军人事务部门可以成立医疗卫生专家小组，对残疾情况与应当评定的残疾等级提出评定意见。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第十二条　伤残人员以军人、人民警察或者其他人员不同身份多次致残的，退役军人事务部门按上述顺序只发给一种证件，并在伤残证件变更栏上注明再次致残的时间和性质，以及合并评残后的等级和性质。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致残部位不能合并评残的，可以先对各部位分别评残。等级不同的，以重者定级；两项（含）以上等级相同的，只能晋升一级。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多次致残的伤残性质不同的，以等级重者定性。等级相同的，按因战、因公、因病的顺序定性。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第三章　伤残证件和档案管理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第十三条　伤残证件的发放种类：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（一）退役军人在服役期间因战因公因病致残的，发给《中华人民共和国残疾军人证》；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（二）人民警察因战因公致残的，发给《中华人民共和国伤残人民警察证》；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（三）退出国家综合性消防救援队伍的人员在职期间因战因公因病致残的，发给《中华人民共和国残疾消防救援人员证》；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（四）因参战、参加军事演习、军事训练和执行军事勤务致残的预备役人员、民兵、民工以及其他人员，发给《中华人民共和国伤残预备役人员、伤残民兵民工证》；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（五）其他人员因公致残的，发给《中华人民共和国因公伤残人员证》。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第十四条　伤残证件由国务院退役军人事务部门统一制作。证件的有效期：15周岁以下为5年，16－25周岁为10年，26－45周岁为20年，46周岁以上为长期。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第十五条　伤残证件有效期满或者损毁、遗失的，证件持有人应当到县级人民政府退役军人事务部门申请换发证件或者补发证件。伤残证件遗失的须本人登报声明作废。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人民政府退役军人事务部门经审查认为符合条件的，填写《伤残人员换证补证审批表》，连同照片逐级上报省级人民政府退役军人事务部门。省级人民政府退役军人事务部门将新办理的伤残证件逐级通过县级人民政府退役军人事务部门发给申请人。各级退役军人事务部门应当在20个工作日内完成本级需要办理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第十六条　伤残人员前往我国香港特别行政区、澳门特别行政区、台湾地区定居或者其他国家和地区定居前，应当向户籍地（或者原户籍地）县级人民政府退役军人事务部门提出申请，由户籍地（或者原户籍地）县级人民政府退役军人事务部门在变更栏内注明变更内容。对需要换发新证的，“身份证号”处填写定居地的居住证件号码。“户籍地”为国内抚恤关系所在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第十七条　伤残人员死亡的，其家属或者利害关系人应及时告知伤残人员户籍地县级人民政府退役军人事务部门，县级人民政府退役军人事务部门应当注销其伤残证件，并逐级上报省级人民政府退役军人事务部门备案。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第十八条　退役军人事务部门对申报和审批的各种材料、伤残证件应当有登记手续。送达的材料或者证件，均须挂号邮寄或者由申请人签收。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第十九条　县级人民政府退役军人事务部门应当建立伤残人员资料档案，一人一档，长期保存。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第四章　伤残抚恤关系转移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第二十条　残疾军人退役或者向政府移交，必须自军队办理了退役手续或者移交手续后60日内，向户籍迁入地的县级人民政府退役军人事务部门申请转入抚恤关系。退役军人事务部门必须进行审查、登记、备案。审查的材料有：《户口登记簿》、《残疾军人证》、军队相关部门监制的《军人残疾等级评定表》、《换领&lt;中华人民共和国残疾军人证&gt;申报审批表》、退役证件或者移交政府安置的相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县级人民政府退役军人事务部门应当对残疾军人残疾情况及有关材料进行审查，必要时可以复查鉴定残疾情况。认为符合条件的，将《残疾军人证》及有关材料逐级报送省级人民政府退役军人事务部门。省级人民政府退役军人事务部门审查无误的，在《残疾军人证》变更栏内填写新的户籍地、重新编号，并加盖印章，将《残疾军人证》逐级通过县级人民政府退役军人事务部门发还申请人。各级退役军人事务部门应当在20个工作日内完成本级需要办理的事项。如复查、鉴定残疾情况的可以适当延长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军人残疾等级评定表》或者《换领〈中华人民共和国残疾军人证〉申报审批表》记载的残疾情况与残疾等级明显不符的，县级退役军人事务部门应当暂缓登记，逐级上报省级人民政府退役军人事务部门通知原审批机关更正，或者按复查鉴定的残疾情况重新评定残疾等级。伪造、变造《残疾军人证》和评残材料的，县级人民政府退役军人事务部门收回《残疾军人证》不予登记，并移交当地公安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第二十一条　伤残人员跨省迁移户籍时，应同步转移伤残抚恤关系，迁出地的县级人民政府退役军人事务部门根据伤残人员申请及其伤残证件和迁入地户口簿，将伤残档案、迁入地户口簿复印件以及《伤残人员关系转移证明》，发送迁入地县级人民政府退役军人事务部门，并同时将此信息逐级上报本省级人民政府退役军人事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迁入地县级人民政府退役军人事务部门在收到上述材料和申请人提供的伤残证件后，逐级上报省级人民政府退役军人事务部门。省级人民政府退役军人事务部门在向迁出地省级人民政府退役军人事务部门核实无误后，在伤残证件变更栏内填写新的户籍地、重新编号，并加盖印章，逐级通过县级人民政府退役军人事务部门发还申请人。各级退役军人事务部门应当在20个工作日内完成本级需要办理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迁出地退役军人事务部门邮寄伤残档案时，应当将伤残证件及其军队或者地方相关的评残审批表或者换证表复印备查。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第二十二条　伤残人员本省、自治区、直辖市范围内迁移的有关手续，由省、自治区、直辖市人民政府退役军人事务部门规定。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第五章　抚恤金发放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第二十三条　伤残人员从被批准残疾等级评定后的下一个月起，由户籍地县级人民政府退役军人事务部门按照规定予以抚恤。伤残人员抚恤关系转移的，其当年的抚恤金由部队或者迁出地的退役军人事务部门负责发给，从下一年起由迁入地退役军人事务部门按当地标准发给。由于申请人原因造成抚恤金断发的，不再补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第二十四条　在境内异地（指非户籍地）居住的伤残人员或者前往我国香港特别行政区、澳门特别行政区、台湾地区定居或者其他国家和地区定居的伤残人员，经向其户籍地（或者原户籍地）县级人民政府退役军人事务部门申请并办理相关手续后，其伤残抚恤金可以委托他人代领，也可以委托其户籍地（或者原户籍地）县级人民政府退役军人事务部门存入其指定的金融机构账户，所需费用由本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第二十五条　伤残人员本人（或者其家属）每年应当与其户籍地（或者原户籍地）的县级人民政府退役军人事务部门联系一次，通过见面、人脸识别等方式确认伤残人员领取待遇资格。当年未联系和确认的，县级人民政府退役军人事务部门应当经过公告或者通知本人或者其家属及时联系、确认；经过公告或者通知本人或者其家属后60日内仍未联系、确认的，从下一个月起停发伤残抚恤金和相关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伤残人员（或者其家属）与其户籍地（或者原户籍地）退役军人事务部门重新确认伤残人员领取待遇资格后，从下一个月起恢复发放伤残抚恤金和享受相关待遇，停发的抚恤金不予补发。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第二十六条　伤残人员变更国籍、被取消残疾等级或者死亡的，从变更国籍、被取消残疾等级或者死亡后的下一个月起停发伤残抚恤金和相关待遇，其伤残人员证件自然失效。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第二十七条  有下列行为之一的，由县级人民政府退役军人事务部门给予警告，停止其享受的抚恤、优待，追回非法所得；构成犯罪的，依法追究刑事责任：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（一）伪造残情的；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（二）冒领抚恤金的；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（三）骗取医药费等费用的；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（四）出具假证明，伪造证件、印章骗取抚恤金和相关待遇的。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第二十八条　县级人民政府退役军人事务部门依据人民法院生效的法律文书、公安机关发布的通缉令或者国家有关规定，对具有中止抚恤、优待情形的伤残人员，决定中止抚恤、优待，并通知本人或者其家属、利害关系人。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第二十九条　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办理恢复抚恤手续应当提供下列材料：本人申请、户口登记簿、司法机关的相关证明。需要重新办证的，按照证件丢失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center"/>
        <w:textAlignment w:val="auto"/>
      </w:pPr>
      <w:r>
        <w:rPr>
          <w:rStyle w:val="8"/>
          <w:rFonts w:hint="eastAsia" w:ascii="微软雅黑" w:hAnsi="微软雅黑" w:eastAsia="微软雅黑" w:cs="微软雅黑"/>
          <w:sz w:val="24"/>
          <w:szCs w:val="24"/>
          <w:bdr w:val="none" w:color="auto" w:sz="0" w:space="0"/>
          <w:shd w:val="clear" w:fill="FFFFFF"/>
        </w:rPr>
        <w:t>第六章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第三十条  本办法适用于中国人民武装警察部队。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第三十一条  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第三十二条　未列入行政编制的人民警察，参照本办法评定伤残等级，其伤残抚恤金由所在单位按规定发放。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第三十三条　省级人民政府退役军人事务部门可以根据本地实际情况，制定具体工作细则。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both"/>
        <w:textAlignment w:val="auto"/>
      </w:pPr>
      <w:r>
        <w:rPr>
          <w:rFonts w:hint="eastAsia" w:ascii="微软雅黑" w:hAnsi="微软雅黑" w:eastAsia="微软雅黑" w:cs="微软雅黑"/>
          <w:sz w:val="24"/>
          <w:szCs w:val="24"/>
          <w:bdr w:val="none" w:color="auto" w:sz="0" w:space="0"/>
          <w:shd w:val="clear" w:fill="FFFFFF"/>
        </w:rPr>
        <w:t>　　第三十四条　本办法自2007年8月1日起施行。</w:t>
      </w:r>
    </w:p>
    <w:p>
      <w:pPr>
        <w:keepNext w:val="0"/>
        <w:keepLines w:val="0"/>
        <w:pageBreakBefore w:val="0"/>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2098" w:right="1474" w:bottom="1984"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47265"/>
    <w:rsid w:val="3F7C6E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layui-layer-tabnow"/>
    <w:basedOn w:val="7"/>
    <w:uiPriority w:val="0"/>
    <w:rPr>
      <w:bdr w:val="single" w:color="CCCCCC" w:sz="6" w:space="0"/>
      <w:shd w:val="clear" w:fill="FFFFFF"/>
    </w:rPr>
  </w:style>
  <w:style w:type="character" w:customStyle="1" w:styleId="12">
    <w:name w:val="hover"/>
    <w:basedOn w:val="7"/>
    <w:uiPriority w:val="0"/>
    <w:rPr>
      <w:color w:val="014D8A"/>
    </w:rPr>
  </w:style>
  <w:style w:type="character" w:customStyle="1" w:styleId="13">
    <w:name w:val="layui-laypage-curr"/>
    <w:basedOn w:val="7"/>
    <w:uiPriority w:val="0"/>
    <w:rPr>
      <w:bdr w:val="none" w:color="auto" w:sz="0" w:space="0"/>
    </w:rPr>
  </w:style>
  <w:style w:type="character" w:customStyle="1" w:styleId="14">
    <w:name w:val="first-child"/>
    <w:basedOn w:val="7"/>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2020-01-07T02:19:24Z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