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600" w:beforeAutospacing="0" w:after="600" w:afterAutospacing="0" w:line="560" w:lineRule="exact"/>
        <w:ind w:left="0" w:right="0"/>
        <w:jc w:val="center"/>
        <w:textAlignment w:val="auto"/>
        <w:rPr>
          <w:sz w:val="45"/>
          <w:szCs w:val="45"/>
        </w:rPr>
      </w:pPr>
      <w:r>
        <w:rPr>
          <w:sz w:val="45"/>
          <w:szCs w:val="45"/>
          <w:shd w:val="clear" w:fill="FFFFFF"/>
        </w:rPr>
        <w:t xml:space="preserve">《关于促进新时代退役军人就业创业工作的意见》全文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center"/>
        <w:textAlignment w:val="auto"/>
        <w:rPr>
          <w:rFonts w:ascii="微软雅黑" w:hAnsi="微软雅黑" w:eastAsia="微软雅黑" w:cs="微软雅黑"/>
          <w:sz w:val="24"/>
          <w:szCs w:val="24"/>
          <w:bdr w:val="none" w:color="auto" w:sz="0" w:space="0"/>
          <w:shd w:val="clear" w:fill="FFFFFF"/>
        </w:rPr>
      </w:pPr>
      <w:r>
        <w:rPr>
          <w:rFonts w:ascii="微软雅黑" w:hAnsi="微软雅黑" w:eastAsia="微软雅黑" w:cs="微软雅黑"/>
          <w:sz w:val="24"/>
          <w:szCs w:val="24"/>
          <w:bdr w:val="none" w:color="auto" w:sz="0" w:space="0"/>
          <w:shd w:val="clear" w:fill="FFFFFF"/>
        </w:rPr>
        <w:t>退役军人部发〔2018〕26号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center"/>
        <w:textAlignment w:val="auto"/>
        <w:rPr>
          <w:rFonts w:ascii="微软雅黑" w:hAnsi="微软雅黑" w:eastAsia="微软雅黑" w:cs="微软雅黑"/>
          <w:sz w:val="24"/>
          <w:szCs w:val="24"/>
          <w:bdr w:val="none" w:color="auto" w:sz="0" w:space="0"/>
          <w:shd w:val="clear" w:fill="FFFFFF"/>
        </w:rPr>
      </w:pP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各省、自治区、直辖市党委组织部、政法委，政府办公厅、教育厅（局）、公安厅（局）、民政厅（局）、财政厅（局）、人力资源社会保障厅（局）、国资委、扶贫办，国家税务总局各省、自治区、直辖市、计划单列市税务局，各战区、各军兵种、军委机关各部门、军事科学院、国防大学、国防科技大学、武警部队政治工作部（局、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退役军人是重要的人力资源，是建设中国特色社会主义的重要力量。促进他们就业创业、引导他们积极投身“大众创业、万众创新”实践，对于更好实现退役军人自身价值、助推经济社会发展、服务国防和军队建设具有重要意义。新时代退役军人就业创业工作要以习近平新时代中国特色社会主义思想为指导，坚持政府推动、政策优先，市场导向、需求牵引，自愿选择、自主作为，社会支持、多方参与，调动各方面力量共同推进，保障退役军人在享受普惠性就业创业扶持政策和公共服务基础上再给予特殊优待。现就促进退役军人（自主就业退役士兵、自主择业军转干部、复员干部）就业创业工作提出如下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Style w:val="8"/>
          <w:rFonts w:hint="eastAsia" w:ascii="微软雅黑" w:hAnsi="微软雅黑" w:eastAsia="微软雅黑" w:cs="微软雅黑"/>
          <w:sz w:val="28"/>
          <w:szCs w:val="28"/>
          <w:bdr w:val="none" w:color="auto" w:sz="0" w:space="0"/>
          <w:shd w:val="clear" w:fill="FFFFFF"/>
        </w:rPr>
        <w:t>　　一、提升就业创业能力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Style w:val="8"/>
          <w:rFonts w:hint="eastAsia" w:ascii="微软雅黑" w:hAnsi="微软雅黑" w:eastAsia="微软雅黑" w:cs="微软雅黑"/>
          <w:sz w:val="24"/>
          <w:szCs w:val="24"/>
          <w:bdr w:val="none" w:color="auto" w:sz="0" w:space="0"/>
          <w:shd w:val="clear" w:fill="FFFFFF"/>
        </w:rPr>
        <w:t>　　（一）完善多层次、多样化的教育培训体系。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将退役军人就业创业培训纳入国家学历教育和职业教育体系，依托普通高校、职业院校（含技工院校）等教育资源，促进现役军人与退役军人教育培训相衔接、学历教育与技能培训互为补充，改善知识结构，提升能力素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Style w:val="8"/>
          <w:rFonts w:hint="eastAsia" w:ascii="微软雅黑" w:hAnsi="微软雅黑" w:eastAsia="微软雅黑" w:cs="微软雅黑"/>
          <w:sz w:val="24"/>
          <w:szCs w:val="24"/>
          <w:bdr w:val="none" w:color="auto" w:sz="0" w:space="0"/>
          <w:shd w:val="clear" w:fill="FFFFFF"/>
        </w:rPr>
        <w:t>　　（二）开展退役前技能储备培训。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组织开展退役前技能储备培训和职业指导，深入开展“送政策进军营”活动，加强经济社会发展和就业形势介绍、政策咨询、心理调适、“一对一”职业规划，有条件的部队可在军人退役前开展技能培训，努力把退役军人服役期间锤炼的品质转化为就业创业的优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Style w:val="8"/>
          <w:rFonts w:hint="eastAsia" w:ascii="微软雅黑" w:hAnsi="微软雅黑" w:eastAsia="微软雅黑" w:cs="微软雅黑"/>
          <w:sz w:val="24"/>
          <w:szCs w:val="24"/>
          <w:bdr w:val="none" w:color="auto" w:sz="0" w:space="0"/>
          <w:shd w:val="clear" w:fill="FFFFFF"/>
        </w:rPr>
        <w:t>　　（三）加强退役后职业技能培训。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引导退役军人积极参加职业技能培训，退役后可选择接受一次免费（免学杂费、免住宿费、免技能鉴定费）培训，并享受培训期间生活补助。教育培训期限一般为2年，最短不少于3个月。督促指导承训机构突出提高社会适应能力和就业所需知识及技能，按需求进行实用性培训，开展“订单式”“定向式”“定岗式”培训，推进培训精细化、个性化。坚持谁培训、谁推荐就业，压实目标责任，提高就业成功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Style w:val="8"/>
          <w:rFonts w:hint="eastAsia" w:ascii="微软雅黑" w:hAnsi="微软雅黑" w:eastAsia="微软雅黑" w:cs="微软雅黑"/>
          <w:sz w:val="24"/>
          <w:szCs w:val="24"/>
          <w:bdr w:val="none" w:color="auto" w:sz="0" w:space="0"/>
          <w:shd w:val="clear" w:fill="FFFFFF"/>
        </w:rPr>
        <w:t>　　（四）推行终身职业技能培训。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将退役军人纳入国家终身职业技能培训政策和组织实施体系，鼓励用人单位定期组织退役军人参加岗位技能提升和知识更新培训。对下岗失业退役军人，及时纳入失业人员特别职业培训计划、职业技能培训等范围，并按规定予以补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Style w:val="8"/>
          <w:rFonts w:hint="eastAsia" w:ascii="微软雅黑" w:hAnsi="微软雅黑" w:eastAsia="微软雅黑" w:cs="微软雅黑"/>
          <w:sz w:val="24"/>
          <w:szCs w:val="24"/>
          <w:bdr w:val="none" w:color="auto" w:sz="0" w:space="0"/>
          <w:shd w:val="clear" w:fill="FFFFFF"/>
        </w:rPr>
        <w:t>　　（五）鼓励参加学历教育。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鼓励各地将符合高考报名条件的退役军人纳入高等职业院校单独考试招生范围。退役军人参加全国普通高考、成人高考、研究生考试，符合条件的可享受加分照顾，同等条件下优先录取。成人高校招生专升本免试入学，服役期间立二等功以上且符合报考条件的，可申请免初试攻读硕士研究生。退役军人接受中等职业教育可实行注册入学。中等职业教育期间，按规定享受免学费和国家助学金资助；对退役一年以上、参加全国统一高考，考入全日制普通本科和高专高职学校的自主就业退役士兵，学历教育期间按规定享受学费资助和相关奖助学金资助，家庭经济困难退役士兵享受学生生活费补助。国家鼓励军人服役期间参加开放教育、自学考试等学历继续教育，退役后可根据需要继续完成学业，获得相应国民高等教育学历文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Style w:val="8"/>
          <w:rFonts w:hint="eastAsia" w:ascii="微软雅黑" w:hAnsi="微软雅黑" w:eastAsia="微软雅黑" w:cs="微软雅黑"/>
          <w:sz w:val="24"/>
          <w:szCs w:val="24"/>
          <w:bdr w:val="none" w:color="auto" w:sz="0" w:space="0"/>
          <w:shd w:val="clear" w:fill="FFFFFF"/>
        </w:rPr>
        <w:t>　　（六）加强教育培训管理。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建立退役军人职业技能承训机构目录、承训企业目录和普通高校、职业学校目录，及时向社会公开并实行定期考核、动态管理。各类目录由省级退役军人事务部门每年发布。经省级退役军人事务部门同意，退役军人可参加跨省异地教育培训。加强对承训单位教育培训质量考核，建立激励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Style w:val="8"/>
          <w:rFonts w:hint="eastAsia" w:ascii="微软雅黑" w:hAnsi="微软雅黑" w:eastAsia="微软雅黑" w:cs="微软雅黑"/>
          <w:sz w:val="28"/>
          <w:szCs w:val="28"/>
          <w:bdr w:val="none" w:color="auto" w:sz="0" w:space="0"/>
          <w:shd w:val="clear" w:fill="FFFFFF"/>
        </w:rPr>
        <w:t>　　二、加大就业支持力度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Style w:val="8"/>
          <w:rFonts w:hint="eastAsia" w:ascii="微软雅黑" w:hAnsi="微软雅黑" w:eastAsia="微软雅黑" w:cs="微软雅黑"/>
          <w:sz w:val="24"/>
          <w:szCs w:val="24"/>
          <w:bdr w:val="none" w:color="auto" w:sz="0" w:space="0"/>
          <w:shd w:val="clear" w:fill="FFFFFF"/>
        </w:rPr>
        <w:t>　　（七）适当放宽招录（聘）条件。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机关、社会团体、企业事业单位在招收录用工作人员或聘用职工时，对退役军人的年龄和学历条件适当放宽，同等条件下优先招录聘用退役军人。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Style w:val="8"/>
          <w:rFonts w:hint="eastAsia" w:ascii="微软雅黑" w:hAnsi="微软雅黑" w:eastAsia="微软雅黑" w:cs="微软雅黑"/>
          <w:sz w:val="24"/>
          <w:szCs w:val="24"/>
          <w:bdr w:val="none" w:color="auto" w:sz="0" w:space="0"/>
          <w:shd w:val="clear" w:fill="FFFFFF"/>
        </w:rPr>
        <w:t>　　（八）加大公务员招录力度。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在军队服役5年（含）以上的高校毕业生士兵退役后可以报考面向服务基层项目人员定向考录的职位，同服务基层项目人员共享公务员定向考录计划，优先录用建档立卡贫困户家庭高校毕业生退役士兵。各地特别是边疆地区、深度贫困地区结合实施乡村振兴、脱贫攻坚等战略，设置一定数量基层公务员职位面向退役军人招考，西藏和四川、云南、甘肃、青海四省藏区以及新疆南疆地区县乡逐步扩大招考数量。各级党政机关在组织开展选调生工作时，注意选调有服役经历的优秀大学生。适当提高政法干警招录培养体制改革试点定向招录退役军人比例，应征入伍的高校毕业生退役后报考试点班的，教育考试笔试成绩总分加10分。有效拓宽从反恐特战等退役军人中招录公安机关人民警察渠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Style w:val="8"/>
          <w:rFonts w:hint="eastAsia" w:ascii="微软雅黑" w:hAnsi="微软雅黑" w:eastAsia="微软雅黑" w:cs="微软雅黑"/>
          <w:sz w:val="24"/>
          <w:szCs w:val="24"/>
          <w:bdr w:val="none" w:color="auto" w:sz="0" w:space="0"/>
          <w:shd w:val="clear" w:fill="FFFFFF"/>
        </w:rPr>
        <w:t>　　（九）拓展就业渠道。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研究制定适合退役军人就业的岗位目录，提高退役军人服务保障以及安保等岗位招录退役军人的比例，辅警岗位同等条件下优先招录退役军人。选派退役军人参与社会治理、稳边固边、脱贫攻坚等重点工作，鼓励退役军人到党的基层组织、城乡社区担任专职工作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Style w:val="8"/>
          <w:rFonts w:hint="eastAsia" w:ascii="微软雅黑" w:hAnsi="微软雅黑" w:eastAsia="微软雅黑" w:cs="微软雅黑"/>
          <w:sz w:val="24"/>
          <w:szCs w:val="24"/>
          <w:bdr w:val="none" w:color="auto" w:sz="0" w:space="0"/>
          <w:shd w:val="clear" w:fill="FFFFFF"/>
        </w:rPr>
        <w:t>　　（十）鼓励企业招用。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吸纳退役军人就业的企业，符合条件的可享受相关税收优惠。对退役军人就业作出突出贡献的企业，给予表彰、奖励。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Style w:val="8"/>
          <w:rFonts w:hint="eastAsia" w:ascii="微软雅黑" w:hAnsi="微软雅黑" w:eastAsia="微软雅黑" w:cs="微软雅黑"/>
          <w:sz w:val="24"/>
          <w:szCs w:val="24"/>
          <w:bdr w:val="none" w:color="auto" w:sz="0" w:space="0"/>
          <w:shd w:val="clear" w:fill="FFFFFF"/>
        </w:rPr>
        <w:t>　　（十一）强化就业服务。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各级公共就业服务机构设立退役军人窗口或实行退役军人优先制度，为其提供便捷高效服务。县级以上地方人民政府每年至少组织2次退役军人专场招聘活动，为其就业搭建平台。国家鼓励专业人力资源企业和社会组织为退役军人就业提供免费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Style w:val="8"/>
          <w:rFonts w:hint="eastAsia" w:ascii="微软雅黑" w:hAnsi="微软雅黑" w:eastAsia="微软雅黑" w:cs="微软雅黑"/>
          <w:sz w:val="24"/>
          <w:szCs w:val="24"/>
          <w:bdr w:val="none" w:color="auto" w:sz="0" w:space="0"/>
          <w:shd w:val="clear" w:fill="FFFFFF"/>
        </w:rPr>
        <w:t>　　（十二）实施后续扶持。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建立退役军人就业台帐，实行实名制管理，动态掌握就业情况，对出现下岗失业的，及时纳入再就业帮扶范围。接收退役军人的单位裁减人员的，优先留用退役军人。单位依法关闭、破产、改制的，当地人民政府优先推荐退役军人再就业，优先保障退役军人合法权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Style w:val="8"/>
          <w:rFonts w:hint="eastAsia" w:ascii="微软雅黑" w:hAnsi="微软雅黑" w:eastAsia="微软雅黑" w:cs="微软雅黑"/>
          <w:sz w:val="28"/>
          <w:szCs w:val="28"/>
          <w:bdr w:val="none" w:color="auto" w:sz="0" w:space="0"/>
          <w:shd w:val="clear" w:fill="FFFFFF"/>
        </w:rPr>
        <w:t>　　三、积极优化创业环境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Style w:val="8"/>
          <w:rFonts w:hint="eastAsia" w:ascii="微软雅黑" w:hAnsi="微软雅黑" w:eastAsia="微软雅黑" w:cs="微软雅黑"/>
          <w:sz w:val="24"/>
          <w:szCs w:val="24"/>
          <w:bdr w:val="none" w:color="auto" w:sz="0" w:space="0"/>
          <w:shd w:val="clear" w:fill="FFFFFF"/>
        </w:rPr>
        <w:t>　　（十三）开展创业培训。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组织有创业意愿的退役军人，依托专业培训机构和大学科技园、众创空间、网络平台等，开展创业意识教育、创业项目指导、企业经营管理等培训，增强创业信心，提升创业能力。加强创业培训质量评估，对培训质量好的培训机构给予奖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Style w:val="8"/>
          <w:rFonts w:hint="eastAsia" w:ascii="微软雅黑" w:hAnsi="微软雅黑" w:eastAsia="微软雅黑" w:cs="微软雅黑"/>
          <w:sz w:val="24"/>
          <w:szCs w:val="24"/>
          <w:bdr w:val="none" w:color="auto" w:sz="0" w:space="0"/>
          <w:shd w:val="clear" w:fill="FFFFFF"/>
        </w:rPr>
        <w:t>　　（十四）优先提供创业场所。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政府投资或社会共建的创业孵化基地和创业园区可设立退役军人专区，有条件的地区可专门建立退役军人创业孵化基地、众创空间和创业园区，并按规定落实经营场地、水电减免、投融资、人力资源、宣传推广等优惠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Style w:val="8"/>
          <w:rFonts w:hint="eastAsia" w:ascii="微软雅黑" w:hAnsi="微软雅黑" w:eastAsia="微软雅黑" w:cs="微软雅黑"/>
          <w:sz w:val="24"/>
          <w:szCs w:val="24"/>
          <w:bdr w:val="none" w:color="auto" w:sz="0" w:space="0"/>
          <w:shd w:val="clear" w:fill="FFFFFF"/>
        </w:rPr>
        <w:t>　　（十五）享受金融税收优惠。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符合条件的退役军人及其创办的小微企业可申请创业担保贷款，并按国家规定享受贷款贴息。鼓励有条件的地方因地制宜加大对退役军人就业创业的支持力度。退役军人从事个体经营，符合条件的可享受国家相关税收优惠。适时研究完善支持退役军人就业创业的税收优惠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Style w:val="8"/>
          <w:rFonts w:hint="eastAsia" w:ascii="微软雅黑" w:hAnsi="微软雅黑" w:eastAsia="微软雅黑" w:cs="微软雅黑"/>
          <w:sz w:val="24"/>
          <w:szCs w:val="24"/>
          <w:bdr w:val="none" w:color="auto" w:sz="0" w:space="0"/>
          <w:shd w:val="clear" w:fill="FFFFFF"/>
        </w:rPr>
        <w:t>　　（十六）探索设立创业基金。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引导企业和社会组织积极扶持退役军人创业，鼓励社会资本设立退役军人创业基金，拓宽资金保障渠道。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Style w:val="8"/>
          <w:rFonts w:hint="eastAsia" w:ascii="微软雅黑" w:hAnsi="微软雅黑" w:eastAsia="微软雅黑" w:cs="微软雅黑"/>
          <w:sz w:val="28"/>
          <w:szCs w:val="28"/>
          <w:bdr w:val="none" w:color="auto" w:sz="0" w:space="0"/>
          <w:shd w:val="clear" w:fill="FFFFFF"/>
        </w:rPr>
        <w:t>　　四、建立健全服务体系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Style w:val="8"/>
          <w:rFonts w:hint="eastAsia" w:ascii="微软雅黑" w:hAnsi="微软雅黑" w:eastAsia="微软雅黑" w:cs="微软雅黑"/>
          <w:sz w:val="24"/>
          <w:szCs w:val="24"/>
          <w:bdr w:val="none" w:color="auto" w:sz="0" w:space="0"/>
          <w:shd w:val="clear" w:fill="FFFFFF"/>
        </w:rPr>
        <w:t>　　（十七）搭建信息平台。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加强信息化建设，形成全国贯通、实时共享、上下联动的退役军人就业创业服务信息平台，充分运用大数据，畅通信息渠道，促进供需有效对接，为退役军人就业创业提供精准服务。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Style w:val="8"/>
          <w:rFonts w:hint="eastAsia" w:ascii="微软雅黑" w:hAnsi="微软雅黑" w:eastAsia="微软雅黑" w:cs="微软雅黑"/>
          <w:sz w:val="24"/>
          <w:szCs w:val="24"/>
          <w:bdr w:val="none" w:color="auto" w:sz="0" w:space="0"/>
          <w:shd w:val="clear" w:fill="FFFFFF"/>
        </w:rPr>
        <w:t>　　（十八）建立指导队伍。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组织动员创业经验丰富、关爱退役军人、热心公益事业的企业家和专家学者等人员，组成退役军人就业创业指导团队，发挥其在职业规划、创业指导、吸纳就业等方面的传帮带作用。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Style w:val="8"/>
          <w:rFonts w:hint="eastAsia" w:ascii="微软雅黑" w:hAnsi="微软雅黑" w:eastAsia="微软雅黑" w:cs="微软雅黑"/>
          <w:sz w:val="24"/>
          <w:szCs w:val="24"/>
          <w:bdr w:val="none" w:color="auto" w:sz="0" w:space="0"/>
          <w:shd w:val="clear" w:fill="FFFFFF"/>
        </w:rPr>
        <w:t>　　（十九）建设实训基地。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依托现有专为退役军人服务的机构，按照分级分类管理原则，加快建立优势互补、资源共享、专为退役军人服务的区域化实训基地，将其纳入国家政策支持范围，给予适当补助。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Style w:val="8"/>
          <w:rFonts w:hint="eastAsia" w:ascii="微软雅黑" w:hAnsi="微软雅黑" w:eastAsia="微软雅黑" w:cs="微软雅黑"/>
          <w:sz w:val="24"/>
          <w:szCs w:val="24"/>
          <w:bdr w:val="none" w:color="auto" w:sz="0" w:space="0"/>
          <w:shd w:val="clear" w:fill="FFFFFF"/>
        </w:rPr>
        <w:t>　　（二十）引导多元服务。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积极倡导全社会共同参与退役军人就业创业，把政府提供公共服务、社会力量补充服务、退役军人自我服务结合起来，支持为退役军人就业创业服务的社会组织依法开展工作。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Style w:val="8"/>
          <w:rFonts w:hint="eastAsia" w:ascii="微软雅黑" w:hAnsi="微软雅黑" w:eastAsia="微软雅黑" w:cs="微软雅黑"/>
          <w:sz w:val="28"/>
          <w:szCs w:val="28"/>
          <w:bdr w:val="none" w:color="auto" w:sz="0" w:space="0"/>
          <w:shd w:val="clear" w:fill="FFFFFF"/>
        </w:rPr>
        <w:t>　　五、切实加强组织领导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Style w:val="8"/>
          <w:rFonts w:hint="eastAsia" w:ascii="微软雅黑" w:hAnsi="微软雅黑" w:eastAsia="微软雅黑" w:cs="微软雅黑"/>
          <w:sz w:val="24"/>
          <w:szCs w:val="24"/>
          <w:bdr w:val="none" w:color="auto" w:sz="0" w:space="0"/>
          <w:shd w:val="clear" w:fill="FFFFFF"/>
        </w:rPr>
        <w:t>　　（二十一）健全工作机制。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要把退役军人就业创业工作作为一项政治任务摆上重要议事日程，健全工作机制，统筹协调、组织指导退役军人就业创业工作，重点做好研究制定政策、拟定实施方案、选定承训单位和就业创业指导服务机构、开展监督考评等重要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Style w:val="8"/>
          <w:rFonts w:hint="eastAsia" w:ascii="微软雅黑" w:hAnsi="微软雅黑" w:eastAsia="微软雅黑" w:cs="微软雅黑"/>
          <w:sz w:val="24"/>
          <w:szCs w:val="24"/>
          <w:bdr w:val="none" w:color="auto" w:sz="0" w:space="0"/>
          <w:shd w:val="clear" w:fill="FFFFFF"/>
        </w:rPr>
        <w:t>　　（二十二）明确任务分工。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退役军人事务部门负责退役军人就业创业的组织协调、宣传发动、监督考评等工作。教育部门负责推荐并指导所属教育培训机构做好招生录取、教学管理、就业推荐等组织实施工作。财政部门负责退役军人就业创业经费的安排与监管工作。人力资源社会保障部门负责指导职业培训机构、公共就业服务机构为退役军人提供职业技能培训、基本公共就业服务。军地有关部门按照职责共同做好退役军人就业创业相关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Style w:val="8"/>
          <w:rFonts w:hint="eastAsia" w:ascii="微软雅黑" w:hAnsi="微软雅黑" w:eastAsia="微软雅黑" w:cs="微软雅黑"/>
          <w:sz w:val="24"/>
          <w:szCs w:val="24"/>
          <w:bdr w:val="none" w:color="auto" w:sz="0" w:space="0"/>
          <w:shd w:val="clear" w:fill="FFFFFF"/>
        </w:rPr>
        <w:t>　　（二十三）严格追责问责。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要把退役军人就业创业工作纳入年度绩效考核内容，加强监督检查，严格追踪问效，确保政策落实落地。对在中央政策之外增设条件、提高门槛的，坚决予以清理和纠正；对政策落实不到位、工作推进不力的，及时进行督查督办；对严重违反政策规定、造成不良影响的，严肃追究相关人员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Style w:val="8"/>
          <w:rFonts w:hint="eastAsia" w:ascii="微软雅黑" w:hAnsi="微软雅黑" w:eastAsia="微软雅黑" w:cs="微软雅黑"/>
          <w:sz w:val="24"/>
          <w:szCs w:val="24"/>
          <w:bdr w:val="none" w:color="auto" w:sz="0" w:space="0"/>
          <w:shd w:val="clear" w:fill="FFFFFF"/>
        </w:rPr>
        <w:t>　　（二十四）强化宣传教育。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加强退役军人思想政治和择业观念教育，帮助他们尽快实现角色转换，顺利融入社会，退役不褪色、退伍不褪志，继续保持发扬人民军队的光荣传统和优良作风，在社会主义现代化建设事业中再立新功、赢得全社会尊重。同时，大力宣传退役军人就业创业典型，弘扬自信自强、积极向上的精神风貌。宣传社会各界关心支持退役军人就业创业的先进事迹，营造有利于退役军人就业创业的良好氛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各地结合实际制定实施细则，贯彻落实情况及时报告。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right"/>
        <w:textAlignment w:val="auto"/>
      </w:pPr>
      <w:r>
        <w:rPr>
          <w:rStyle w:val="8"/>
          <w:rFonts w:hint="eastAsia" w:ascii="微软雅黑" w:hAnsi="微软雅黑" w:eastAsia="微软雅黑" w:cs="微软雅黑"/>
          <w:sz w:val="24"/>
          <w:szCs w:val="24"/>
          <w:bdr w:val="none" w:color="auto" w:sz="0" w:space="0"/>
          <w:shd w:val="clear" w:fill="FFFFFF"/>
        </w:rPr>
        <w:t>　　退役军人事务部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right"/>
        <w:textAlignment w:val="auto"/>
      </w:pPr>
      <w:r>
        <w:rPr>
          <w:rStyle w:val="8"/>
          <w:rFonts w:hint="eastAsia" w:ascii="微软雅黑" w:hAnsi="微软雅黑" w:eastAsia="微软雅黑" w:cs="微软雅黑"/>
          <w:sz w:val="24"/>
          <w:szCs w:val="24"/>
          <w:bdr w:val="none" w:color="auto" w:sz="0" w:space="0"/>
          <w:shd w:val="clear" w:fill="FFFFFF"/>
        </w:rPr>
        <w:t>　　中共中央组织部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right"/>
        <w:textAlignment w:val="auto"/>
      </w:pPr>
      <w:r>
        <w:rPr>
          <w:rStyle w:val="8"/>
          <w:rFonts w:hint="eastAsia" w:ascii="微软雅黑" w:hAnsi="微软雅黑" w:eastAsia="微软雅黑" w:cs="微软雅黑"/>
          <w:sz w:val="24"/>
          <w:szCs w:val="24"/>
          <w:bdr w:val="none" w:color="auto" w:sz="0" w:space="0"/>
          <w:shd w:val="clear" w:fill="FFFFFF"/>
        </w:rPr>
        <w:t>　　中共中央政法委员会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right"/>
        <w:textAlignment w:val="auto"/>
      </w:pPr>
      <w:r>
        <w:rPr>
          <w:rStyle w:val="8"/>
          <w:rFonts w:hint="eastAsia" w:ascii="微软雅黑" w:hAnsi="微软雅黑" w:eastAsia="微软雅黑" w:cs="微软雅黑"/>
          <w:sz w:val="24"/>
          <w:szCs w:val="24"/>
          <w:bdr w:val="none" w:color="auto" w:sz="0" w:space="0"/>
          <w:shd w:val="clear" w:fill="FFFFFF"/>
        </w:rPr>
        <w:t>　　教     育     部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right"/>
        <w:textAlignment w:val="auto"/>
      </w:pPr>
      <w:r>
        <w:rPr>
          <w:rStyle w:val="8"/>
          <w:rFonts w:hint="eastAsia" w:ascii="微软雅黑" w:hAnsi="微软雅黑" w:eastAsia="微软雅黑" w:cs="微软雅黑"/>
          <w:sz w:val="24"/>
          <w:szCs w:val="24"/>
          <w:bdr w:val="none" w:color="auto" w:sz="0" w:space="0"/>
          <w:shd w:val="clear" w:fill="FFFFFF"/>
        </w:rPr>
        <w:t>　　公     安     部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right"/>
        <w:textAlignment w:val="auto"/>
      </w:pPr>
      <w:r>
        <w:rPr>
          <w:rStyle w:val="8"/>
          <w:rFonts w:hint="eastAsia" w:ascii="微软雅黑" w:hAnsi="微软雅黑" w:eastAsia="微软雅黑" w:cs="微软雅黑"/>
          <w:sz w:val="24"/>
          <w:szCs w:val="24"/>
          <w:bdr w:val="none" w:color="auto" w:sz="0" w:space="0"/>
          <w:shd w:val="clear" w:fill="FFFFFF"/>
        </w:rPr>
        <w:t>　　民     政     部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right"/>
        <w:textAlignment w:val="auto"/>
      </w:pPr>
      <w:r>
        <w:rPr>
          <w:rStyle w:val="8"/>
          <w:rFonts w:hint="eastAsia" w:ascii="微软雅黑" w:hAnsi="微软雅黑" w:eastAsia="微软雅黑" w:cs="微软雅黑"/>
          <w:sz w:val="24"/>
          <w:szCs w:val="24"/>
          <w:bdr w:val="none" w:color="auto" w:sz="0" w:space="0"/>
          <w:shd w:val="clear" w:fill="FFFFFF"/>
        </w:rPr>
        <w:t>　　财     政     部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right"/>
        <w:textAlignment w:val="auto"/>
      </w:pPr>
      <w:r>
        <w:rPr>
          <w:rStyle w:val="8"/>
          <w:rFonts w:hint="eastAsia" w:ascii="微软雅黑" w:hAnsi="微软雅黑" w:eastAsia="微软雅黑" w:cs="微软雅黑"/>
          <w:sz w:val="24"/>
          <w:szCs w:val="24"/>
          <w:bdr w:val="none" w:color="auto" w:sz="0" w:space="0"/>
          <w:shd w:val="clear" w:fill="FFFFFF"/>
        </w:rPr>
        <w:t>　　人力资源和社会保障部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right"/>
        <w:textAlignment w:val="auto"/>
      </w:pPr>
      <w:r>
        <w:rPr>
          <w:rStyle w:val="8"/>
          <w:rFonts w:hint="eastAsia" w:ascii="微软雅黑" w:hAnsi="微软雅黑" w:eastAsia="微软雅黑" w:cs="微软雅黑"/>
          <w:sz w:val="24"/>
          <w:szCs w:val="24"/>
          <w:bdr w:val="none" w:color="auto" w:sz="0" w:space="0"/>
          <w:shd w:val="clear" w:fill="FFFFFF"/>
        </w:rPr>
        <w:t>　　国务院国有资产监督管理委员会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right"/>
        <w:textAlignment w:val="auto"/>
      </w:pPr>
      <w:r>
        <w:rPr>
          <w:rStyle w:val="8"/>
          <w:rFonts w:hint="eastAsia" w:ascii="微软雅黑" w:hAnsi="微软雅黑" w:eastAsia="微软雅黑" w:cs="微软雅黑"/>
          <w:sz w:val="24"/>
          <w:szCs w:val="24"/>
          <w:bdr w:val="none" w:color="auto" w:sz="0" w:space="0"/>
          <w:shd w:val="clear" w:fill="FFFFFF"/>
        </w:rPr>
        <w:t>　　国家税务总局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right"/>
        <w:textAlignment w:val="auto"/>
      </w:pPr>
      <w:r>
        <w:rPr>
          <w:rStyle w:val="8"/>
          <w:rFonts w:hint="eastAsia" w:ascii="微软雅黑" w:hAnsi="微软雅黑" w:eastAsia="微软雅黑" w:cs="微软雅黑"/>
          <w:sz w:val="24"/>
          <w:szCs w:val="24"/>
          <w:bdr w:val="none" w:color="auto" w:sz="0" w:space="0"/>
          <w:shd w:val="clear" w:fill="FFFFFF"/>
        </w:rPr>
        <w:t>　　国务院扶贫开发领导小组办公室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right"/>
        <w:textAlignment w:val="auto"/>
      </w:pPr>
      <w:r>
        <w:rPr>
          <w:rStyle w:val="8"/>
          <w:rFonts w:hint="eastAsia" w:ascii="微软雅黑" w:hAnsi="微软雅黑" w:eastAsia="微软雅黑" w:cs="微软雅黑"/>
          <w:sz w:val="24"/>
          <w:szCs w:val="24"/>
          <w:bdr w:val="none" w:color="auto" w:sz="0" w:space="0"/>
          <w:shd w:val="clear" w:fill="FFFFFF"/>
        </w:rPr>
        <w:t>　　中央军委政治工作部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right"/>
        <w:textAlignment w:val="auto"/>
      </w:pPr>
      <w:r>
        <w:rPr>
          <w:rFonts w:hint="eastAsia" w:ascii="微软雅黑" w:hAnsi="微软雅黑" w:eastAsia="微软雅黑" w:cs="微软雅黑"/>
          <w:sz w:val="24"/>
          <w:szCs w:val="24"/>
          <w:bdr w:val="none" w:color="auto" w:sz="0" w:space="0"/>
          <w:shd w:val="clear" w:fill="FFFFFF"/>
        </w:rPr>
        <w:t>　　2018年7月27日</w:t>
      </w:r>
    </w:p>
    <w:p>
      <w:pPr>
        <w:keepNext w:val="0"/>
        <w:keepLines w:val="0"/>
        <w:pageBreakBefore w:val="0"/>
        <w:kinsoku/>
        <w:wordWrap/>
        <w:overflowPunct/>
        <w:topLinePunct w:val="0"/>
        <w:autoSpaceDE/>
        <w:autoSpaceDN/>
        <w:bidi w:val="0"/>
        <w:adjustRightInd/>
        <w:snapToGrid/>
        <w:spacing w:line="560" w:lineRule="exact"/>
        <w:textAlignment w:val="auto"/>
      </w:pPr>
    </w:p>
    <w:sectPr>
      <w:footerReference r:id="rId3" w:type="default"/>
      <w:pgSz w:w="11906" w:h="16838"/>
      <w:pgMar w:top="2098" w:right="1474" w:bottom="1984" w:left="1474"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ayui-icon">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EA62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auto"/>
    </w:pPr>
    <w:rPr>
      <w:rFonts w:hint="eastAsia" w:ascii="宋体" w:hAnsi="宋体" w:eastAsia="宋体" w:cs="宋体"/>
      <w:b/>
      <w:kern w:val="44"/>
      <w:sz w:val="48"/>
      <w:szCs w:val="48"/>
      <w:bdr w:val="none" w:sz="4" w:space="0"/>
      <w:lang w:val="en-US" w:eastAsia="zh-CN" w:bidi="ar"/>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333333"/>
      <w:u w:val="none"/>
    </w:rPr>
  </w:style>
  <w:style w:type="character" w:styleId="10">
    <w:name w:val="Hyperlink"/>
    <w:basedOn w:val="7"/>
    <w:uiPriority w:val="0"/>
    <w:rPr>
      <w:color w:val="333333"/>
      <w:u w:val="none"/>
    </w:rPr>
  </w:style>
  <w:style w:type="character" w:customStyle="1" w:styleId="11">
    <w:name w:val="hover"/>
    <w:basedOn w:val="7"/>
    <w:uiPriority w:val="0"/>
    <w:rPr>
      <w:color w:val="014D8A"/>
    </w:rPr>
  </w:style>
  <w:style w:type="character" w:customStyle="1" w:styleId="12">
    <w:name w:val="layui-layer-tabnow"/>
    <w:basedOn w:val="7"/>
    <w:uiPriority w:val="0"/>
    <w:rPr>
      <w:bdr w:val="single" w:color="CCCCCC" w:sz="6" w:space="0"/>
      <w:shd w:val="clear" w:fill="FFFFFF"/>
    </w:rPr>
  </w:style>
  <w:style w:type="character" w:customStyle="1" w:styleId="13">
    <w:name w:val="first-child"/>
    <w:basedOn w:val="7"/>
    <w:uiPriority w:val="0"/>
    <w:rPr>
      <w:bdr w:val="none" w:color="auto" w:sz="0" w:space="0"/>
    </w:rPr>
  </w:style>
  <w:style w:type="character" w:customStyle="1" w:styleId="14">
    <w:name w:val="layui-laypage-curr"/>
    <w:basedOn w:val="7"/>
    <w:uiPriority w:val="0"/>
    <w:rPr>
      <w:bdr w:val="none" w:color="auto" w:sz="0" w:space="0"/>
    </w:rPr>
  </w:style>
  <w:style w:type="character" w:customStyle="1" w:styleId="15">
    <w:name w:val="hover12"/>
    <w:basedOn w:val="7"/>
    <w:uiPriority w:val="0"/>
    <w:rPr>
      <w:color w:val="014D8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办公室-陈金泉</cp:lastModifiedBy>
  <dcterms:modified xsi:type="dcterms:W3CDTF">2020-01-07T01:53:14Z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