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5"/>
          <w:szCs w:val="45"/>
        </w:rPr>
      </w:pPr>
      <w:r>
        <w:rPr>
          <w:rFonts w:hint="eastAsia" w:ascii="方正小标宋_GBK" w:hAnsi="方正小标宋_GBK" w:eastAsia="方正小标宋_GBK" w:cs="方正小标宋_GBK"/>
          <w:b w:val="0"/>
          <w:bCs/>
        </w:rPr>
        <w:t>自治区退役军人厅 自治区财政厅关于调整部分优抚对象节日慰问标准的通知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0" w:beforeAutospacing="0" w:after="600" w:afterAutospacing="0" w:line="560" w:lineRule="exact"/>
        <w:ind w:left="0" w:right="0"/>
        <w:jc w:val="center"/>
        <w:textAlignment w:val="auto"/>
        <w:rPr>
          <w:rFonts w:hint="default" w:ascii="方正小标宋_GBK" w:hAnsi="方正小标宋_GBK" w:eastAsia="方正小标宋_GBK" w:cs="方正小标宋_GBK"/>
          <w:b w:val="0"/>
          <w:bCs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560" w:lineRule="exact"/>
        <w:ind w:left="0" w:right="0" w:firstLine="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各市</w:t>
      </w: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、县（市、区）退役军人服务管理领导小组办公室、财政局：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为做好我区部分优抚对象春节、“八一”建军节等重大节日走访慰问工作，体现各级党委、政府对优抚对象的亲切关怀，经研究决定，从2019年起，调整部分优抚对象节日慰问标准，现将有关事项通知如下：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</w:rPr>
        <w:t>一、慰问对象范围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户籍地在我区行政区域内享受国家抚恤和补助的残疾军人( 含伤残人民警察、伤残国家机关工作人员、伤残民兵民工) 、烈属( 含因公牺牲军人遗属、病故军人遗属) 、红军失散人员、在乡复员军人、带病回乡退伍军人、参战参试退役人员。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</w:rPr>
        <w:t>二、慰问标准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慰问金( 或慰问品) 标准为: “八一”建军节调整为200 元/人，春节慰问标准不变（200 元/人）。退休后进入社区管理( 含倒闭、破产企业) 的参战退役人员由退役军人事务主管部门参照上述标准负责慰问。其他优抚对象的慰问活动由各地按照以往惯例自行组织。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fill="FFFFFF"/>
        </w:rPr>
        <w:t>三、经费来源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“八一”建军节和春节期间的慰问所需经费由自治区和市县财政按1:1的比例负担。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560" w:lineRule="exact"/>
        <w:ind w:left="0" w:right="0" w:firstLine="420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   自治区退役军人厅   自治区财政厅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560" w:lineRule="exact"/>
        <w:ind w:left="0" w:right="0" w:firstLine="420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shd w:val="clear" w:fill="FFFFFF"/>
        </w:rPr>
        <w:t>               </w:t>
      </w:r>
      <w:r>
        <w:rPr>
          <w:rFonts w:hint="default" w:ascii="Times New Roman" w:hAnsi="Times New Roman" w:eastAsia="方正仿宋_GBK" w:cs="Times New Roman"/>
          <w:sz w:val="32"/>
          <w:szCs w:val="32"/>
          <w:shd w:val="clear" w:fill="FFFFFF"/>
        </w:rPr>
        <w:t>2019年1月18日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773E7"/>
    <w:rsid w:val="10696C43"/>
    <w:rsid w:val="44437073"/>
    <w:rsid w:val="4A8F6B45"/>
    <w:rsid w:val="697F2E13"/>
    <w:rsid w:val="FBF791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layui-laypage-curr"/>
    <w:basedOn w:val="7"/>
    <w:qFormat/>
    <w:uiPriority w:val="0"/>
  </w:style>
  <w:style w:type="character" w:customStyle="1" w:styleId="11">
    <w:name w:val="hover11"/>
    <w:basedOn w:val="7"/>
    <w:qFormat/>
    <w:uiPriority w:val="0"/>
    <w:rPr>
      <w:color w:val="014D8A"/>
    </w:rPr>
  </w:style>
  <w:style w:type="character" w:customStyle="1" w:styleId="12">
    <w:name w:val="layui-layer-tabnow"/>
    <w:basedOn w:val="7"/>
    <w:qFormat/>
    <w:uiPriority w:val="0"/>
    <w:rPr>
      <w:bdr w:val="single" w:color="CCCCCC" w:sz="6" w:space="0"/>
      <w:shd w:val="clear" w:fill="FFFFFF"/>
    </w:rPr>
  </w:style>
  <w:style w:type="character" w:customStyle="1" w:styleId="13">
    <w:name w:val="first-child"/>
    <w:basedOn w:val="7"/>
    <w:qFormat/>
    <w:uiPriority w:val="0"/>
  </w:style>
  <w:style w:type="character" w:customStyle="1" w:styleId="14">
    <w:name w:val="hover"/>
    <w:basedOn w:val="7"/>
    <w:qFormat/>
    <w:uiPriority w:val="0"/>
    <w:rPr>
      <w:color w:val="014D8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</dc:creator>
  <cp:lastModifiedBy>黄起悦</cp:lastModifiedBy>
  <dcterms:modified xsi:type="dcterms:W3CDTF">2023-05-12T20:30:45Z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