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方正小标宋简体" w:eastAsia="方正小标宋简体"/>
          <w:spacing w:val="-32"/>
          <w:kern w:val="0"/>
          <w:sz w:val="44"/>
          <w:szCs w:val="44"/>
        </w:rPr>
      </w:pPr>
      <w:r>
        <w:rPr>
          <w:rFonts w:hint="eastAsia" w:ascii="方正小标宋简体" w:eastAsia="方正小标宋简体"/>
          <w:spacing w:val="-32"/>
          <w:kern w:val="0"/>
          <w:sz w:val="44"/>
          <w:szCs w:val="44"/>
        </w:rPr>
        <w:t>广西壮族自治区退役军人事务厅  广西军区政治工作局</w:t>
      </w:r>
    </w:p>
    <w:p>
      <w:pPr>
        <w:widowControl/>
        <w:spacing w:line="540" w:lineRule="exact"/>
        <w:jc w:val="center"/>
        <w:rPr>
          <w:rFonts w:hint="eastAsia" w:ascii="方正小标宋简体" w:eastAsia="方正小标宋简体"/>
          <w:kern w:val="0"/>
          <w:sz w:val="44"/>
          <w:szCs w:val="44"/>
        </w:rPr>
      </w:pPr>
      <w:r>
        <w:rPr>
          <w:rFonts w:hint="eastAsia" w:ascii="方正小标宋简体" w:eastAsia="方正小标宋简体"/>
          <w:spacing w:val="20"/>
          <w:kern w:val="0"/>
          <w:sz w:val="44"/>
          <w:szCs w:val="44"/>
        </w:rPr>
        <w:t>关于组织开展我区移交安置工作进军营</w:t>
      </w:r>
      <w:r>
        <w:rPr>
          <w:rFonts w:hint="eastAsia" w:ascii="方正小标宋简体" w:eastAsia="方正小标宋简体"/>
          <w:kern w:val="0"/>
          <w:sz w:val="44"/>
          <w:szCs w:val="44"/>
        </w:rPr>
        <w:t xml:space="preserve">      “送政策、送服务、送温暖”活动的通知</w:t>
      </w:r>
    </w:p>
    <w:p>
      <w:pPr>
        <w:widowControl/>
        <w:spacing w:line="540" w:lineRule="exact"/>
        <w:rPr>
          <w:rFonts w:hint="eastAsia" w:ascii="仿宋_GB2312" w:hAnsi="仿宋_GB2312" w:eastAsia="仿宋_GB2312" w:cs="仿宋_GB2312"/>
          <w:kern w:val="0"/>
          <w:sz w:val="32"/>
          <w:szCs w:val="32"/>
        </w:rPr>
      </w:pPr>
    </w:p>
    <w:p>
      <w:pPr>
        <w:widowControl/>
        <w:spacing w:line="540" w:lineRule="exact"/>
        <w:jc w:val="center"/>
        <w:rPr>
          <w:rFonts w:hint="eastAsia" w:ascii="仿宋_GB2312" w:hAnsi="宋体" w:eastAsia="仿宋_GB2312"/>
          <w:bCs/>
          <w:sz w:val="32"/>
          <w:szCs w:val="32"/>
        </w:rPr>
      </w:pPr>
      <w:r>
        <w:rPr>
          <w:rFonts w:hint="eastAsia" w:ascii="仿宋_GB2312" w:eastAsia="仿宋_GB2312"/>
          <w:bCs/>
          <w:sz w:val="32"/>
          <w:szCs w:val="32"/>
          <w:lang w:val="en-US" w:eastAsia="zh-CN"/>
        </w:rPr>
        <w:t>桂退役军人</w:t>
      </w:r>
      <w:r>
        <w:rPr>
          <w:rFonts w:hint="eastAsia" w:ascii="仿宋_GB2312" w:eastAsia="仿宋_GB2312"/>
          <w:sz w:val="32"/>
          <w:szCs w:val="32"/>
        </w:rPr>
        <w:t>〔</w:t>
      </w:r>
      <w:r>
        <w:rPr>
          <w:rFonts w:eastAsia="仿宋_GB2312"/>
          <w:sz w:val="32"/>
          <w:szCs w:val="32"/>
        </w:rPr>
        <w:t>2019</w:t>
      </w:r>
      <w:r>
        <w:rPr>
          <w:rFonts w:hint="eastAsia" w:ascii="仿宋_GB2312" w:eastAsia="仿宋_GB2312"/>
          <w:sz w:val="32"/>
          <w:szCs w:val="32"/>
        </w:rPr>
        <w:t>〕</w:t>
      </w:r>
      <w:r>
        <w:rPr>
          <w:rFonts w:eastAsia="仿宋_GB2312"/>
          <w:bCs/>
          <w:sz w:val="32"/>
          <w:szCs w:val="32"/>
        </w:rPr>
        <w:t>23</w:t>
      </w:r>
      <w:r>
        <w:rPr>
          <w:rFonts w:hint="eastAsia" w:ascii="仿宋_GB2312" w:hAnsi="宋体" w:eastAsia="仿宋_GB2312"/>
          <w:bCs/>
          <w:sz w:val="32"/>
          <w:szCs w:val="32"/>
        </w:rPr>
        <w:t>号</w:t>
      </w:r>
    </w:p>
    <w:p>
      <w:pPr>
        <w:widowControl/>
        <w:spacing w:line="540" w:lineRule="exact"/>
        <w:rPr>
          <w:rFonts w:hint="eastAsia" w:ascii="仿宋_GB2312" w:hAnsi="宋体" w:eastAsia="仿宋_GB2312"/>
          <w:bCs/>
          <w:sz w:val="32"/>
          <w:szCs w:val="32"/>
        </w:rPr>
      </w:pPr>
    </w:p>
    <w:p>
      <w:pPr>
        <w:widowControl/>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各市退役军人事务局，各军分区（警备区）政治工作处、驻桂各有关部队政治工作部门：</w:t>
      </w:r>
    </w:p>
    <w:p>
      <w:pPr>
        <w:widowControl/>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深入贯彻落实习近平总书记关于退役军人工作的重要论述和重要批示精神，确保我区退役军人事务部门成立第一年移交安置工作取得“开门红”，经研究，决定组织开展我区移交安置工作进军营“送政策、送服务、送温暖”活动。现就有关事项通知如下：</w:t>
      </w:r>
    </w:p>
    <w:p>
      <w:pPr>
        <w:widowControl/>
        <w:spacing w:line="520" w:lineRule="exact"/>
        <w:ind w:firstLine="640" w:firstLineChars="200"/>
        <w:rPr>
          <w:rFonts w:hint="eastAsia" w:ascii="黑体" w:eastAsia="黑体"/>
          <w:sz w:val="32"/>
          <w:szCs w:val="32"/>
        </w:rPr>
      </w:pPr>
      <w:r>
        <w:rPr>
          <w:rFonts w:hint="eastAsia" w:ascii="黑体" w:eastAsia="黑体"/>
          <w:sz w:val="32"/>
          <w:szCs w:val="32"/>
        </w:rPr>
        <w:t>一、目标要求</w:t>
      </w:r>
    </w:p>
    <w:p>
      <w:pPr>
        <w:widowControl/>
        <w:spacing w:line="520" w:lineRule="exact"/>
        <w:ind w:firstLine="645"/>
        <w:rPr>
          <w:rFonts w:eastAsia="仿宋_GB2312"/>
          <w:kern w:val="0"/>
          <w:sz w:val="32"/>
          <w:szCs w:val="32"/>
        </w:rPr>
      </w:pPr>
      <w:r>
        <w:rPr>
          <w:rFonts w:hAnsi="仿宋_GB2312" w:eastAsia="仿宋_GB2312"/>
          <w:kern w:val="0"/>
          <w:sz w:val="32"/>
          <w:szCs w:val="32"/>
        </w:rPr>
        <w:t>通过深入开展移交安置工作进军营</w:t>
      </w:r>
      <w:r>
        <w:rPr>
          <w:rFonts w:eastAsia="仿宋_GB2312"/>
          <w:kern w:val="0"/>
          <w:sz w:val="32"/>
          <w:szCs w:val="32"/>
        </w:rPr>
        <w:t>“</w:t>
      </w:r>
      <w:r>
        <w:rPr>
          <w:rFonts w:hAnsi="仿宋_GB2312" w:eastAsia="仿宋_GB2312"/>
          <w:kern w:val="0"/>
          <w:sz w:val="32"/>
          <w:szCs w:val="32"/>
        </w:rPr>
        <w:t>送政策、送服务、送温暖</w:t>
      </w:r>
      <w:r>
        <w:rPr>
          <w:rFonts w:eastAsia="仿宋_GB2312"/>
          <w:kern w:val="0"/>
          <w:sz w:val="32"/>
          <w:szCs w:val="32"/>
        </w:rPr>
        <w:t>”</w:t>
      </w:r>
      <w:r>
        <w:rPr>
          <w:rFonts w:hAnsi="仿宋_GB2312" w:eastAsia="仿宋_GB2312"/>
          <w:kern w:val="0"/>
          <w:sz w:val="32"/>
          <w:szCs w:val="32"/>
        </w:rPr>
        <w:t>活动，帮助广大待移交安置的官兵进一步了解安置形势、把握安置政策，科学选择安置方式和安置去向，为圆满完成我区</w:t>
      </w:r>
      <w:r>
        <w:rPr>
          <w:rFonts w:eastAsia="仿宋_GB2312"/>
          <w:kern w:val="0"/>
          <w:sz w:val="32"/>
          <w:szCs w:val="32"/>
        </w:rPr>
        <w:t>2019</w:t>
      </w:r>
      <w:r>
        <w:rPr>
          <w:rFonts w:hAnsi="仿宋_GB2312" w:eastAsia="仿宋_GB2312"/>
          <w:kern w:val="0"/>
          <w:sz w:val="32"/>
          <w:szCs w:val="32"/>
        </w:rPr>
        <w:t>年度移交安置工作打下良好基础。</w:t>
      </w:r>
    </w:p>
    <w:p>
      <w:pPr>
        <w:widowControl/>
        <w:spacing w:line="520" w:lineRule="exact"/>
        <w:ind w:firstLine="645"/>
        <w:rPr>
          <w:rFonts w:hint="eastAsia" w:ascii="黑体" w:eastAsia="黑体"/>
          <w:sz w:val="32"/>
          <w:szCs w:val="32"/>
        </w:rPr>
      </w:pPr>
      <w:r>
        <w:rPr>
          <w:rFonts w:hint="eastAsia" w:ascii="黑体" w:eastAsia="黑体"/>
          <w:sz w:val="32"/>
          <w:szCs w:val="32"/>
        </w:rPr>
        <w:t>二、组织实施</w:t>
      </w:r>
    </w:p>
    <w:p>
      <w:pPr>
        <w:spacing w:line="520" w:lineRule="exact"/>
        <w:ind w:firstLine="640" w:firstLineChars="200"/>
        <w:rPr>
          <w:rFonts w:eastAsia="仿宋_GB2312"/>
          <w:kern w:val="0"/>
          <w:sz w:val="32"/>
          <w:szCs w:val="32"/>
        </w:rPr>
      </w:pPr>
      <w:r>
        <w:rPr>
          <w:rFonts w:hAnsi="仿宋_GB2312" w:eastAsia="仿宋_GB2312"/>
          <w:kern w:val="0"/>
          <w:sz w:val="32"/>
          <w:szCs w:val="32"/>
        </w:rPr>
        <w:t>由自治区退役军人厅移交安置处、就业创业处，各市退役军人事务局及广西军区转业办、各军分区（警备区）政治工作处、驻桂各有关部队政治工作部门共同组织实施。</w:t>
      </w:r>
    </w:p>
    <w:p>
      <w:pPr>
        <w:spacing w:line="520" w:lineRule="exact"/>
        <w:ind w:firstLine="640" w:firstLineChars="200"/>
        <w:rPr>
          <w:rFonts w:eastAsia="黑体"/>
          <w:sz w:val="32"/>
          <w:szCs w:val="32"/>
        </w:rPr>
      </w:pPr>
      <w:r>
        <w:rPr>
          <w:rFonts w:eastAsia="黑体"/>
          <w:sz w:val="32"/>
          <w:szCs w:val="32"/>
        </w:rPr>
        <w:t>三、活动时间</w:t>
      </w:r>
    </w:p>
    <w:p>
      <w:pPr>
        <w:widowControl/>
        <w:spacing w:line="520" w:lineRule="exact"/>
        <w:ind w:firstLine="640" w:firstLineChars="200"/>
        <w:rPr>
          <w:rFonts w:hint="eastAsia" w:eastAsia="仿宋_GB2312"/>
          <w:kern w:val="0"/>
          <w:sz w:val="32"/>
          <w:szCs w:val="32"/>
          <w:lang w:eastAsia="zh-CN"/>
        </w:rPr>
      </w:pPr>
      <w:r>
        <w:rPr>
          <w:rFonts w:eastAsia="仿宋_GB2312"/>
          <w:kern w:val="0"/>
          <w:sz w:val="32"/>
          <w:szCs w:val="32"/>
        </w:rPr>
        <w:t>2019</w:t>
      </w:r>
      <w:r>
        <w:rPr>
          <w:rFonts w:hAnsi="仿宋_GB2312" w:eastAsia="仿宋_GB2312"/>
          <w:kern w:val="0"/>
          <w:sz w:val="32"/>
          <w:szCs w:val="32"/>
        </w:rPr>
        <w:t>年</w:t>
      </w:r>
      <w:r>
        <w:rPr>
          <w:rFonts w:eastAsia="仿宋_GB2312"/>
          <w:kern w:val="0"/>
          <w:sz w:val="32"/>
          <w:szCs w:val="32"/>
        </w:rPr>
        <w:t>4</w:t>
      </w:r>
      <w:r>
        <w:rPr>
          <w:rFonts w:hAnsi="仿宋_GB2312" w:eastAsia="仿宋_GB2312"/>
          <w:kern w:val="0"/>
          <w:sz w:val="32"/>
          <w:szCs w:val="32"/>
        </w:rPr>
        <w:t>月</w:t>
      </w:r>
      <w:r>
        <w:rPr>
          <w:rFonts w:hint="eastAsia" w:eastAsia="仿宋_GB2312"/>
          <w:kern w:val="0"/>
          <w:sz w:val="32"/>
          <w:szCs w:val="32"/>
        </w:rPr>
        <w:t>—</w:t>
      </w:r>
      <w:r>
        <w:rPr>
          <w:rFonts w:eastAsia="仿宋_GB2312"/>
          <w:kern w:val="0"/>
          <w:sz w:val="32"/>
          <w:szCs w:val="32"/>
        </w:rPr>
        <w:t>5</w:t>
      </w:r>
      <w:r>
        <w:rPr>
          <w:rFonts w:hAnsi="仿宋_GB2312" w:eastAsia="仿宋_GB2312"/>
          <w:kern w:val="0"/>
          <w:sz w:val="32"/>
          <w:szCs w:val="32"/>
        </w:rPr>
        <w:t>月，</w:t>
      </w:r>
      <w:r>
        <w:rPr>
          <w:rFonts w:eastAsia="仿宋_GB2312"/>
          <w:kern w:val="0"/>
          <w:sz w:val="32"/>
          <w:szCs w:val="32"/>
        </w:rPr>
        <w:t>9</w:t>
      </w:r>
      <w:r>
        <w:rPr>
          <w:rFonts w:hAnsi="仿宋_GB2312" w:eastAsia="仿宋_GB2312"/>
          <w:kern w:val="0"/>
          <w:sz w:val="32"/>
          <w:szCs w:val="32"/>
        </w:rPr>
        <w:t>月、</w:t>
      </w:r>
      <w:r>
        <w:rPr>
          <w:rFonts w:eastAsia="仿宋_GB2312"/>
          <w:kern w:val="0"/>
          <w:sz w:val="32"/>
          <w:szCs w:val="32"/>
        </w:rPr>
        <w:t>11</w:t>
      </w:r>
      <w:r>
        <w:rPr>
          <w:rFonts w:hAnsi="仿宋_GB2312" w:eastAsia="仿宋_GB2312"/>
          <w:kern w:val="0"/>
          <w:sz w:val="32"/>
          <w:szCs w:val="32"/>
        </w:rPr>
        <w:t>月</w:t>
      </w:r>
      <w:r>
        <w:rPr>
          <w:rFonts w:eastAsia="仿宋_GB2312"/>
          <w:kern w:val="0"/>
          <w:sz w:val="32"/>
          <w:szCs w:val="32"/>
        </w:rPr>
        <w:t>(</w:t>
      </w:r>
      <w:r>
        <w:rPr>
          <w:rFonts w:hAnsi="仿宋_GB2312" w:eastAsia="仿宋_GB2312"/>
          <w:kern w:val="0"/>
          <w:sz w:val="32"/>
          <w:szCs w:val="32"/>
        </w:rPr>
        <w:t>根据退役军人移交安置工作确定具体时间开展</w:t>
      </w:r>
      <w:r>
        <w:rPr>
          <w:rFonts w:eastAsia="仿宋_GB2312"/>
          <w:kern w:val="0"/>
          <w:sz w:val="32"/>
          <w:szCs w:val="32"/>
        </w:rPr>
        <w:t>)</w:t>
      </w:r>
      <w:r>
        <w:rPr>
          <w:rFonts w:hint="eastAsia" w:eastAsia="仿宋_GB2312"/>
          <w:kern w:val="0"/>
          <w:sz w:val="32"/>
          <w:szCs w:val="32"/>
          <w:lang w:eastAsia="zh-CN"/>
        </w:rPr>
        <w:t>。</w:t>
      </w:r>
    </w:p>
    <w:p>
      <w:pPr>
        <w:spacing w:line="520" w:lineRule="exact"/>
        <w:ind w:firstLine="640" w:firstLineChars="200"/>
        <w:rPr>
          <w:rFonts w:hint="eastAsia" w:ascii="黑体" w:eastAsia="黑体"/>
          <w:sz w:val="32"/>
          <w:szCs w:val="32"/>
        </w:rPr>
      </w:pPr>
      <w:r>
        <w:rPr>
          <w:rFonts w:hint="eastAsia" w:ascii="黑体" w:eastAsia="黑体"/>
          <w:sz w:val="32"/>
          <w:szCs w:val="32"/>
        </w:rPr>
        <w:t>四、活动对象</w:t>
      </w:r>
    </w:p>
    <w:p>
      <w:pPr>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待移交安置的部队官兵</w:t>
      </w:r>
      <w:r>
        <w:rPr>
          <w:rFonts w:hint="eastAsia" w:ascii="仿宋_GB2312" w:hAnsi="仿宋_GB2312" w:eastAsia="仿宋_GB2312" w:cs="仿宋_GB2312"/>
          <w:kern w:val="0"/>
          <w:sz w:val="32"/>
          <w:szCs w:val="32"/>
          <w:lang w:eastAsia="zh-CN"/>
        </w:rPr>
        <w:t>。</w:t>
      </w:r>
    </w:p>
    <w:p>
      <w:pPr>
        <w:spacing w:line="520" w:lineRule="exact"/>
        <w:ind w:firstLine="640" w:firstLineChars="200"/>
        <w:rPr>
          <w:rFonts w:hint="eastAsia" w:ascii="黑体" w:eastAsia="黑体"/>
          <w:sz w:val="32"/>
          <w:szCs w:val="32"/>
        </w:rPr>
      </w:pPr>
      <w:r>
        <w:rPr>
          <w:rFonts w:hint="eastAsia" w:ascii="黑体" w:eastAsia="黑体"/>
          <w:sz w:val="32"/>
          <w:szCs w:val="32"/>
        </w:rPr>
        <w:t>五、活动方式</w:t>
      </w:r>
    </w:p>
    <w:p>
      <w:pPr>
        <w:widowControl/>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（一）集中宣讲政策。根据工作需要，可由部队集中组织相关人员，由地方同志宣讲政策；</w:t>
      </w:r>
    </w:p>
    <w:p>
      <w:pPr>
        <w:widowControl/>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（二）召开座谈会。选派待移交安置的官兵代表参加座谈会，地方通报当地去年安置情况，部队报告今年移交安置数量及相关工作情况，会上面对面解答待移交安置的官兵提出的问题；</w:t>
      </w:r>
    </w:p>
    <w:p>
      <w:pPr>
        <w:widowControl/>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（三）印发政策宣传手册。宣传手册可由组织开展宣传活动的各地退役军人事务部门负责印制；</w:t>
      </w:r>
    </w:p>
    <w:p>
      <w:pPr>
        <w:widowControl/>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（四）设置咨询台。在部队摆设咨询台，面对面为部队官兵答疑解惑；</w:t>
      </w:r>
    </w:p>
    <w:p>
      <w:pPr>
        <w:widowControl/>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（五）选派优秀退役军人到部队与大家谈感受，讲成长体会，为他们科学择岗就业把脉支招。</w:t>
      </w:r>
    </w:p>
    <w:p>
      <w:pPr>
        <w:widowControl/>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具体活动方式由各地协商驻地部队共同研究确定，既要确保宣传有成效，又不能影响部队正常秩序。如采取集中政策宣讲、座谈会等方式，建议军队转业干部、退役士兵分别开展。</w:t>
      </w:r>
    </w:p>
    <w:p>
      <w:pPr>
        <w:widowControl/>
        <w:spacing w:line="520" w:lineRule="exact"/>
        <w:ind w:firstLine="960" w:firstLineChars="300"/>
        <w:rPr>
          <w:rFonts w:hint="eastAsia" w:ascii="黑体" w:eastAsia="黑体"/>
          <w:sz w:val="32"/>
          <w:szCs w:val="32"/>
        </w:rPr>
      </w:pPr>
      <w:r>
        <w:rPr>
          <w:rFonts w:hint="eastAsia" w:ascii="黑体" w:eastAsia="黑体"/>
          <w:sz w:val="32"/>
          <w:szCs w:val="32"/>
        </w:rPr>
        <w:t>六、工作要求</w:t>
      </w:r>
    </w:p>
    <w:p>
      <w:pPr>
        <w:spacing w:line="520" w:lineRule="exact"/>
        <w:ind w:firstLine="640" w:firstLineChars="200"/>
        <w:rPr>
          <w:rFonts w:hint="eastAsia" w:ascii="仿宋_GB2312" w:eastAsia="仿宋_GB2312"/>
          <w:sz w:val="32"/>
          <w:szCs w:val="32"/>
        </w:rPr>
      </w:pPr>
      <w:r>
        <w:rPr>
          <w:rFonts w:hint="eastAsia" w:ascii="楷体_GB2312" w:hAnsi="楷体" w:eastAsia="楷体_GB2312"/>
          <w:b/>
          <w:sz w:val="32"/>
          <w:szCs w:val="32"/>
        </w:rPr>
        <w:t>（一）加强组织领导。</w:t>
      </w:r>
      <w:r>
        <w:rPr>
          <w:rFonts w:hint="eastAsia" w:ascii="仿宋_GB2312" w:eastAsia="仿宋_GB2312"/>
          <w:sz w:val="32"/>
          <w:szCs w:val="32"/>
        </w:rPr>
        <w:t>各地退役军人事务部门要高度重视宣传活动，加强组织领导，周密部署，制定活动具体方案，抓好工作落实。主动与驻地部队沟通协调，明确活动的具体安排，确保活动顺利开展。</w:t>
      </w:r>
    </w:p>
    <w:p>
      <w:pPr>
        <w:spacing w:line="520" w:lineRule="exact"/>
        <w:ind w:firstLine="640" w:firstLineChars="200"/>
        <w:rPr>
          <w:rFonts w:hint="eastAsia" w:ascii="仿宋_GB2312" w:eastAsia="仿宋_GB2312"/>
          <w:sz w:val="32"/>
          <w:szCs w:val="32"/>
        </w:rPr>
      </w:pPr>
      <w:r>
        <w:rPr>
          <w:rFonts w:hint="eastAsia" w:ascii="楷体_GB2312" w:hAnsi="楷体" w:eastAsia="楷体_GB2312"/>
          <w:b/>
          <w:sz w:val="32"/>
          <w:szCs w:val="32"/>
        </w:rPr>
        <w:t>（二）务求取得实效。</w:t>
      </w:r>
      <w:r>
        <w:rPr>
          <w:rFonts w:hint="eastAsia" w:ascii="仿宋_GB2312" w:eastAsia="仿宋_GB2312"/>
          <w:sz w:val="32"/>
          <w:szCs w:val="32"/>
        </w:rPr>
        <w:t>各地退役军人事务部门要结合当地实际</w:t>
      </w:r>
      <w:r>
        <w:rPr>
          <w:rFonts w:hint="eastAsia" w:eastAsia="仿宋_GB2312" w:cs="宋体"/>
          <w:kern w:val="0"/>
          <w:sz w:val="32"/>
          <w:szCs w:val="32"/>
        </w:rPr>
        <w:t>，采取丰富多样的方式开展</w:t>
      </w:r>
      <w:r>
        <w:rPr>
          <w:rFonts w:hint="eastAsia" w:ascii="仿宋_GB2312" w:hAnsi="仿宋_GB2312" w:eastAsia="仿宋_GB2312" w:cs="仿宋_GB2312"/>
          <w:kern w:val="0"/>
          <w:sz w:val="32"/>
          <w:szCs w:val="32"/>
        </w:rPr>
        <w:t>进军营“送政策、送服务、送温暖”</w:t>
      </w:r>
      <w:r>
        <w:rPr>
          <w:rFonts w:hint="eastAsia" w:eastAsia="仿宋_GB2312" w:cs="宋体"/>
          <w:kern w:val="0"/>
          <w:sz w:val="32"/>
          <w:szCs w:val="32"/>
        </w:rPr>
        <w:t>活动，着力增强活动的针对性，为广大官兵讲清、讲透当前的安置形势、安置政策，面对面解答他们所关心的问题，</w:t>
      </w:r>
      <w:r>
        <w:rPr>
          <w:rFonts w:hint="eastAsia" w:ascii="仿宋_GB2312" w:eastAsia="仿宋_GB2312"/>
          <w:sz w:val="32"/>
          <w:szCs w:val="32"/>
        </w:rPr>
        <w:t>使活动取得实实在在的成效。</w:t>
      </w:r>
    </w:p>
    <w:p>
      <w:pPr>
        <w:spacing w:line="520" w:lineRule="exact"/>
        <w:ind w:firstLine="640" w:firstLineChars="200"/>
        <w:rPr>
          <w:rFonts w:hint="eastAsia" w:eastAsia="仿宋_GB2312" w:cs="宋体"/>
          <w:kern w:val="0"/>
          <w:sz w:val="32"/>
          <w:szCs w:val="32"/>
        </w:rPr>
      </w:pPr>
      <w:r>
        <w:rPr>
          <w:rFonts w:hint="eastAsia" w:ascii="楷体_GB2312" w:hAnsi="楷体" w:eastAsia="楷体_GB2312"/>
          <w:b/>
          <w:sz w:val="32"/>
          <w:szCs w:val="32"/>
        </w:rPr>
        <w:t>（三）做好宣传报道。</w:t>
      </w:r>
      <w:r>
        <w:rPr>
          <w:rFonts w:hint="eastAsia" w:eastAsia="仿宋_GB2312" w:cs="宋体"/>
          <w:kern w:val="0"/>
          <w:sz w:val="32"/>
          <w:szCs w:val="32"/>
        </w:rPr>
        <w:t>各地要加强活动的宣传报道工作，要突出反映活动的浓厚气氛，突出反映与部队相互交流的生动场面，突出官兵在活动后的切身感受，努力营造浓厚的活动氛围。</w:t>
      </w:r>
    </w:p>
    <w:p>
      <w:pPr>
        <w:spacing w:line="520" w:lineRule="exact"/>
        <w:ind w:firstLine="640" w:firstLineChars="200"/>
        <w:rPr>
          <w:rFonts w:hint="eastAsia" w:eastAsia="仿宋_GB2312" w:cs="宋体"/>
          <w:kern w:val="0"/>
          <w:sz w:val="32"/>
          <w:szCs w:val="32"/>
        </w:rPr>
      </w:pPr>
    </w:p>
    <w:p>
      <w:pPr>
        <w:spacing w:line="520" w:lineRule="exact"/>
        <w:rPr>
          <w:rFonts w:hint="eastAsia" w:eastAsia="仿宋_GB2312" w:cs="宋体"/>
          <w:kern w:val="0"/>
          <w:sz w:val="32"/>
          <w:szCs w:val="32"/>
        </w:rPr>
      </w:pPr>
    </w:p>
    <w:p>
      <w:pPr>
        <w:spacing w:line="520" w:lineRule="exact"/>
        <w:ind w:firstLine="640" w:firstLineChars="200"/>
        <w:rPr>
          <w:rFonts w:eastAsia="仿宋_GB2312"/>
          <w:kern w:val="0"/>
          <w:sz w:val="32"/>
          <w:szCs w:val="32"/>
        </w:rPr>
      </w:pPr>
      <w:r>
        <w:rPr>
          <w:rFonts w:eastAsia="仿宋_GB2312"/>
          <w:kern w:val="0"/>
          <w:sz w:val="32"/>
          <w:szCs w:val="32"/>
        </w:rPr>
        <w:t>广西壮族自治区退役军人事务厅    广西军区政治工作局</w:t>
      </w:r>
    </w:p>
    <w:p>
      <w:pPr>
        <w:spacing w:line="520" w:lineRule="exact"/>
        <w:ind w:firstLine="640" w:firstLineChars="200"/>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2019年4月</w:t>
      </w:r>
      <w:r>
        <w:rPr>
          <w:rFonts w:hint="eastAsia" w:eastAsia="仿宋_GB2312"/>
          <w:kern w:val="0"/>
          <w:sz w:val="32"/>
          <w:szCs w:val="32"/>
        </w:rPr>
        <w:t>12</w:t>
      </w:r>
      <w:r>
        <w:rPr>
          <w:rFonts w:eastAsia="仿宋_GB2312"/>
          <w:kern w:val="0"/>
          <w:sz w:val="32"/>
          <w:szCs w:val="32"/>
        </w:rPr>
        <w:t>日</w:t>
      </w:r>
    </w:p>
    <w:p>
      <w:pPr>
        <w:spacing w:line="520" w:lineRule="exact"/>
        <w:ind w:firstLine="640" w:firstLineChars="200"/>
        <w:rPr>
          <w:rFonts w:hint="eastAsia" w:eastAsia="仿宋_GB2312" w:cs="宋体"/>
          <w:kern w:val="0"/>
          <w:sz w:val="32"/>
          <w:szCs w:val="32"/>
        </w:rPr>
      </w:pPr>
    </w:p>
    <w:p>
      <w:pPr>
        <w:spacing w:line="52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overflowPunct w:val="0"/>
        <w:adjustRightInd w:val="0"/>
        <w:snapToGrid w:val="0"/>
        <w:spacing w:line="580" w:lineRule="exact"/>
        <w:rPr>
          <w:rFonts w:hint="eastAsia" w:eastAsia="黑体"/>
          <w:bCs/>
          <w:snapToGrid w:val="0"/>
          <w:sz w:val="32"/>
          <w:szCs w:val="32"/>
        </w:rPr>
      </w:pPr>
    </w:p>
    <w:p>
      <w:pPr>
        <w:overflowPunct w:val="0"/>
        <w:adjustRightInd w:val="0"/>
        <w:snapToGrid w:val="0"/>
        <w:spacing w:line="580" w:lineRule="exact"/>
        <w:rPr>
          <w:rFonts w:hint="eastAsia" w:eastAsia="黑体"/>
          <w:bCs/>
          <w:snapToGrid w:val="0"/>
          <w:sz w:val="32"/>
          <w:szCs w:val="32"/>
        </w:rPr>
      </w:pPr>
    </w:p>
    <w:p>
      <w:pPr>
        <w:overflowPunct w:val="0"/>
        <w:adjustRightInd w:val="0"/>
        <w:snapToGrid w:val="0"/>
        <w:spacing w:line="580" w:lineRule="exact"/>
        <w:rPr>
          <w:rFonts w:hint="eastAsia" w:eastAsia="黑体"/>
          <w:bCs/>
          <w:snapToGrid w:val="0"/>
          <w:sz w:val="32"/>
          <w:szCs w:val="32"/>
        </w:rPr>
      </w:pPr>
    </w:p>
    <w:p>
      <w:pPr>
        <w:overflowPunct w:val="0"/>
        <w:adjustRightInd w:val="0"/>
        <w:snapToGrid w:val="0"/>
        <w:spacing w:line="580" w:lineRule="exact"/>
        <w:rPr>
          <w:rFonts w:hint="eastAsia" w:eastAsia="黑体"/>
          <w:bCs/>
          <w:snapToGrid w:val="0"/>
          <w:sz w:val="32"/>
          <w:szCs w:val="32"/>
        </w:rPr>
      </w:pPr>
    </w:p>
    <w:p>
      <w:pPr>
        <w:overflowPunct w:val="0"/>
        <w:adjustRightInd w:val="0"/>
        <w:snapToGrid w:val="0"/>
        <w:spacing w:line="580" w:lineRule="exact"/>
        <w:rPr>
          <w:rFonts w:hint="eastAsia" w:eastAsia="黑体"/>
          <w:bCs/>
          <w:snapToGrid w:val="0"/>
          <w:sz w:val="32"/>
          <w:szCs w:val="32"/>
        </w:rPr>
      </w:pPr>
    </w:p>
    <w:p>
      <w:bookmarkStart w:id="0" w:name="_GoBack"/>
      <w:bookmarkEnd w:id="0"/>
    </w:p>
    <w:sectPr>
      <w:footerReference r:id="rId3" w:type="default"/>
      <w:footerReference r:id="rId4" w:type="even"/>
      <w:pgSz w:w="11906" w:h="16838"/>
      <w:pgMar w:top="1985" w:right="1418" w:bottom="1021" w:left="1418" w:header="851" w:footer="1134"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5A3D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