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hint="default" w:ascii="宋体" w:hAnsi="宋体" w:eastAsia="宋体" w:cs="Times New Roman"/>
          <w:b/>
          <w:bCs/>
          <w:color w:val="auto"/>
          <w:sz w:val="72"/>
          <w:szCs w:val="72"/>
          <w:highlight w:val="none"/>
          <w:lang w:val="en-US" w:eastAsia="zh-CN"/>
        </w:rPr>
      </w:pPr>
      <w:r>
        <w:rPr>
          <w:rFonts w:hint="eastAsia" w:ascii="宋体" w:hAnsi="宋体" w:cs="Times New Roman"/>
          <w:b/>
          <w:bCs/>
          <w:color w:val="auto"/>
          <w:sz w:val="72"/>
          <w:szCs w:val="72"/>
          <w:highlight w:val="none"/>
          <w:lang w:val="en-US" w:eastAsia="zh-CN"/>
        </w:rPr>
        <w:t>广西科联招标中心有限公司</w:t>
      </w:r>
    </w:p>
    <w:p>
      <w:pPr>
        <w:spacing w:before="165" w:beforeLines="50" w:line="360" w:lineRule="auto"/>
        <w:jc w:val="both"/>
        <w:rPr>
          <w:rFonts w:hint="eastAsia" w:ascii="仿宋_GB2312" w:hAnsi="宋体" w:eastAsia="仿宋_GB2312" w:cs="Times New Roman"/>
          <w:b/>
          <w:color w:val="auto"/>
          <w:sz w:val="48"/>
          <w:szCs w:val="48"/>
          <w:highlight w:val="none"/>
        </w:rPr>
      </w:pPr>
    </w:p>
    <w:p>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pPr>
        <w:snapToGrid w:val="0"/>
        <w:spacing w:before="165" w:beforeLines="50" w:line="360" w:lineRule="auto"/>
        <w:rPr>
          <w:rFonts w:hint="eastAsia" w:ascii="仿宋_GB2312" w:hAnsi="宋体" w:eastAsia="仿宋_GB2312" w:cs="Times New Roman"/>
          <w:color w:val="auto"/>
          <w:sz w:val="30"/>
          <w:szCs w:val="72"/>
          <w:highlight w:val="none"/>
        </w:rPr>
      </w:pPr>
    </w:p>
    <w:p>
      <w:pPr>
        <w:pStyle w:val="13"/>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pPr>
        <w:pStyle w:val="13"/>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：2025年全区自主就业退役士兵职业技能培训项目</w:t>
      </w:r>
    </w:p>
    <w:p>
      <w:pPr>
        <w:pStyle w:val="13"/>
        <w:snapToGrid w:val="0"/>
        <w:spacing w:before="50" w:after="120" w:line="360" w:lineRule="auto"/>
        <w:ind w:firstLine="2711" w:firstLineChars="9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项目编号：GXZC2025-G3-000960-GXKL</w:t>
      </w:r>
    </w:p>
    <w:p>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pPr>
        <w:widowControl w:val="0"/>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采购人：广西壮族自治区退役军人事务厅</w:t>
      </w:r>
    </w:p>
    <w:p>
      <w:pPr>
        <w:widowControl w:val="0"/>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0"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0"/>
    </w:p>
    <w:p>
      <w:pPr>
        <w:pStyle w:val="13"/>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p>
    <w:p>
      <w:pPr>
        <w:pStyle w:val="13"/>
        <w:snapToGrid w:val="0"/>
        <w:spacing w:before="50" w:after="120" w:line="360" w:lineRule="auto"/>
        <w:jc w:val="center"/>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2025</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5</w:t>
      </w:r>
      <w:r>
        <w:rPr>
          <w:rFonts w:hint="eastAsia" w:ascii="宋体" w:hAnsi="宋体" w:eastAsia="宋体" w:cs="宋体"/>
          <w:b/>
          <w:bCs/>
          <w:color w:val="auto"/>
          <w:w w:val="95"/>
          <w:kern w:val="2"/>
          <w:sz w:val="30"/>
          <w:szCs w:val="30"/>
          <w:highlight w:val="none"/>
          <w:lang w:val="en-US" w:eastAsia="zh-CN" w:bidi="ar-SA"/>
        </w:rPr>
        <w:t>月</w:t>
      </w:r>
    </w:p>
    <w:p>
      <w:pPr>
        <w:widowControl/>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pPr>
        <w:pStyle w:val="13"/>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pPr>
        <w:pStyle w:val="16"/>
        <w:tabs>
          <w:tab w:val="right" w:leader="dot" w:pos="9637"/>
        </w:tabs>
        <w:rPr>
          <w:color w:val="auto"/>
          <w:highlight w:val="none"/>
        </w:rPr>
      </w:pPr>
    </w:p>
    <w:p>
      <w:pPr>
        <w:pStyle w:val="16"/>
        <w:tabs>
          <w:tab w:val="right" w:leader="dot" w:pos="9637"/>
        </w:tabs>
        <w:rPr>
          <w:rFonts w:hint="eastAsia" w:ascii="宋体" w:hAnsi="宋体" w:eastAsia="宋体" w:cs="宋体"/>
          <w:color w:val="auto"/>
          <w:sz w:val="28"/>
          <w:szCs w:val="28"/>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_Toc16222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_Toc16222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_Toc8382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_Toc15364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_Toc10034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eastAsia="宋体" w:cs="宋体"/>
          <w:color w:val="auto"/>
          <w:sz w:val="28"/>
          <w:szCs w:val="28"/>
          <w:highlight w:val="none"/>
          <w:lang w:eastAsia="zh-CN"/>
        </w:rPr>
        <w:t>评标方法和评标标准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_Toc10034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_Toc32021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_Toc32021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6"/>
        <w:tabs>
          <w:tab w:val="right" w:leader="dot" w:pos="9637"/>
        </w:tabs>
        <w:rPr>
          <w:color w:val="auto"/>
          <w:sz w:val="24"/>
          <w:szCs w:val="24"/>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_Toc31310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_Toc31310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3"/>
        <w:jc w:val="center"/>
        <w:rPr>
          <w:rFonts w:hint="eastAsia" w:eastAsia="宋体" w:cs="Times New Roman"/>
          <w:color w:val="auto"/>
          <w:highlight w:val="none"/>
        </w:rPr>
      </w:pPr>
      <w:r>
        <w:rPr>
          <w:color w:val="auto"/>
          <w:sz w:val="22"/>
          <w:szCs w:val="21"/>
          <w:highlight w:val="none"/>
        </w:rPr>
        <w:fldChar w:fldCharType="end"/>
      </w:r>
      <w:r>
        <w:rPr>
          <w:rFonts w:hint="eastAsia" w:eastAsia="宋体" w:cs="Times New Roman"/>
          <w:color w:val="auto"/>
          <w:highlight w:val="none"/>
        </w:rPr>
        <w:tab/>
      </w:r>
      <w:bookmarkStart w:id="1" w:name="_Toc532545041"/>
    </w:p>
    <w:p>
      <w:pPr>
        <w:rPr>
          <w:rFonts w:hint="eastAsia" w:eastAsia="宋体" w:cs="Times New Roman"/>
          <w:color w:val="auto"/>
          <w:highlight w:val="none"/>
        </w:rPr>
      </w:pPr>
      <w:r>
        <w:rPr>
          <w:rFonts w:hint="eastAsia" w:eastAsia="宋体" w:cs="Times New Roman"/>
          <w:color w:val="auto"/>
          <w:highlight w:val="none"/>
        </w:rPr>
        <w:br w:type="page"/>
      </w:r>
    </w:p>
    <w:p>
      <w:pPr>
        <w:pStyle w:val="13"/>
        <w:jc w:val="center"/>
        <w:outlineLvl w:val="0"/>
        <w:rPr>
          <w:rFonts w:hint="eastAsia" w:ascii="Times New Roman" w:hAnsi="Times New Roman" w:eastAsia="宋体" w:cs="Times New Roman"/>
          <w:b/>
          <w:color w:val="auto"/>
          <w:sz w:val="36"/>
          <w:szCs w:val="20"/>
          <w:highlight w:val="none"/>
        </w:rPr>
      </w:pPr>
      <w:bookmarkStart w:id="2" w:name="_Toc9949"/>
      <w:bookmarkStart w:id="3" w:name="_Toc18459"/>
      <w:bookmarkStart w:id="4" w:name="_Toc20258"/>
      <w:bookmarkStart w:id="5" w:name="_Toc12228"/>
      <w:bookmarkStart w:id="6" w:name="_Toc184"/>
      <w:bookmarkStart w:id="7" w:name="_Toc16222"/>
      <w:bookmarkStart w:id="8" w:name="_Toc18707"/>
      <w:bookmarkStart w:id="9" w:name="_Toc8345"/>
      <w:bookmarkStart w:id="10" w:name="_Toc19537"/>
      <w:bookmarkStart w:id="11" w:name="_Toc16576"/>
      <w:bookmarkStart w:id="12" w:name="_Toc11500"/>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pPr>
        <w:pStyle w:val="13"/>
        <w:jc w:val="center"/>
        <w:rPr>
          <w:rFonts w:hint="eastAsia" w:ascii="Times New Roman" w:hAnsi="Times New Roman" w:eastAsia="宋体" w:cs="Times New Roman"/>
          <w:b/>
          <w:color w:val="auto"/>
          <w:sz w:val="30"/>
          <w:szCs w:val="30"/>
          <w:highlight w:val="none"/>
        </w:rPr>
      </w:pPr>
    </w:p>
    <w:p>
      <w:pPr>
        <w:widowControl w:val="0"/>
        <w:jc w:val="center"/>
        <w:rPr>
          <w:rFonts w:hint="default"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广西科联招标中心有限公司关于</w:t>
      </w:r>
    </w:p>
    <w:p>
      <w:pPr>
        <w:widowControl w:val="0"/>
        <w:jc w:val="center"/>
        <w:rPr>
          <w:rFonts w:hint="eastAsia" w:ascii="方正小标宋简体" w:hAnsi="方正小标宋简体" w:eastAsia="方正小标宋简体" w:cs="方正小标宋简体"/>
          <w:color w:val="auto"/>
          <w:kern w:val="2"/>
          <w:sz w:val="32"/>
          <w:szCs w:val="32"/>
          <w:highlight w:val="none"/>
          <w:lang w:val="en-US" w:eastAsia="zh-CN" w:bidi="ar-SA"/>
        </w:rPr>
      </w:pPr>
      <w:bookmarkStart w:id="13" w:name="OLE_LINK1"/>
      <w:r>
        <w:rPr>
          <w:rFonts w:hint="eastAsia" w:ascii="方正小标宋简体" w:hAnsi="方正小标宋简体" w:eastAsia="方正小标宋简体" w:cs="方正小标宋简体"/>
          <w:color w:val="auto"/>
          <w:kern w:val="2"/>
          <w:sz w:val="32"/>
          <w:szCs w:val="32"/>
          <w:highlight w:val="none"/>
          <w:lang w:val="en-US" w:eastAsia="zh-CN" w:bidi="ar-SA"/>
        </w:rPr>
        <w:t>2025年全区自主就业退役士兵职业技能培训项目</w:t>
      </w:r>
      <w:bookmarkEnd w:id="13"/>
    </w:p>
    <w:p>
      <w:pPr>
        <w:widowControl w:val="0"/>
        <w:jc w:val="center"/>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（GXZC2025-G3-000960-GXKL）</w:t>
      </w:r>
    </w:p>
    <w:p>
      <w:pPr>
        <w:widowControl w:val="0"/>
        <w:jc w:val="center"/>
        <w:rPr>
          <w:rFonts w:hint="eastAsia" w:ascii="宋体" w:hAnsi="宋体" w:eastAsia="宋体" w:cs="宋体"/>
          <w:color w:val="auto"/>
          <w:kern w:val="2"/>
          <w:sz w:val="30"/>
          <w:szCs w:val="30"/>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招标公告</w:t>
      </w:r>
    </w:p>
    <w:p>
      <w:pPr>
        <w:pStyle w:val="13"/>
        <w:jc w:val="center"/>
        <w:rPr>
          <w:rFonts w:hint="eastAsia" w:ascii="Times New Roman" w:hAnsi="Times New Roman" w:eastAsia="宋体" w:cs="Times New Roman"/>
          <w:b/>
          <w:color w:val="auto"/>
          <w:sz w:val="30"/>
          <w:szCs w:val="30"/>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b w:val="0"/>
          <w:bCs w:val="0"/>
          <w:i w:val="0"/>
          <w:iCs w:val="0"/>
          <w:color w:val="auto"/>
          <w:szCs w:val="21"/>
          <w:highlight w:val="none"/>
          <w:u w:val="single"/>
          <w:lang w:eastAsia="zh-CN"/>
        </w:rPr>
        <w:t>2025年全区自主就业退役士兵职业技能培训项目</w:t>
      </w:r>
      <w:r>
        <w:rPr>
          <w:rFonts w:hint="eastAsia" w:ascii="宋体" w:hAnsi="宋体" w:eastAsia="宋体" w:cs="宋体"/>
          <w:b w:val="0"/>
          <w:bCs w:val="0"/>
          <w:color w:val="auto"/>
          <w:sz w:val="21"/>
          <w:szCs w:val="21"/>
          <w:highlight w:val="none"/>
          <w:u w:val="none"/>
        </w:rPr>
        <w:t>的潜</w:t>
      </w:r>
      <w:r>
        <w:rPr>
          <w:rFonts w:hint="eastAsia" w:ascii="宋体" w:hAnsi="宋体" w:eastAsia="宋体" w:cs="宋体"/>
          <w:color w:val="auto"/>
          <w:sz w:val="21"/>
          <w:szCs w:val="21"/>
          <w:highlight w:val="none"/>
        </w:rPr>
        <w:t>在投标人应在</w:t>
      </w:r>
      <w:r>
        <w:rPr>
          <w:rFonts w:hint="eastAsia" w:ascii="宋体" w:hAnsi="宋体" w:cs="宋体"/>
          <w:b w:val="0"/>
          <w:bCs w:val="0"/>
          <w:color w:val="auto"/>
          <w:sz w:val="24"/>
          <w:szCs w:val="24"/>
          <w:highlight w:val="none"/>
          <w:lang w:val="en-US" w:eastAsia="zh-CN"/>
        </w:rPr>
        <w:t>广西政府采购云平台</w:t>
      </w:r>
      <w:r>
        <w:rPr>
          <w:rFonts w:hint="eastAsia" w:ascii="宋体" w:hAnsi="宋体" w:cs="宋体"/>
          <w:color w:val="auto"/>
          <w:sz w:val="24"/>
          <w:szCs w:val="24"/>
          <w:highlight w:val="none"/>
        </w:rPr>
        <w:t>（</w:t>
      </w:r>
      <w:r>
        <w:rPr>
          <w:rFonts w:hint="eastAsia" w:ascii="宋体" w:hAnsi="宋体" w:eastAsia="宋体" w:cs="宋体"/>
          <w:b w:val="0"/>
          <w:bCs w:val="0"/>
          <w:i w:val="0"/>
          <w:caps w:val="0"/>
          <w:color w:val="auto"/>
          <w:spacing w:val="0"/>
          <w:sz w:val="24"/>
          <w:szCs w:val="24"/>
          <w:highlight w:val="none"/>
        </w:rPr>
        <w:t>https://www.gcy.zfcg.gxzf.gov.cn/</w:t>
      </w:r>
      <w:r>
        <w:rPr>
          <w:rFonts w:hint="eastAsia" w:ascii="宋体" w:hAnsi="宋体" w:cs="宋体"/>
          <w:color w:val="auto"/>
          <w:sz w:val="24"/>
          <w:szCs w:val="24"/>
          <w:highlight w:val="none"/>
        </w:rPr>
        <w:t>）</w:t>
      </w:r>
      <w:r>
        <w:rPr>
          <w:rFonts w:hint="eastAsia" w:ascii="宋体" w:hAnsi="宋体" w:eastAsia="宋体" w:cs="宋体"/>
          <w:color w:val="auto"/>
          <w:sz w:val="21"/>
          <w:szCs w:val="21"/>
          <w:highlight w:val="none"/>
        </w:rPr>
        <w:t>获取招标文件，并于</w:t>
      </w:r>
      <w:bookmarkStart w:id="14" w:name="PO_3000001866_PM015"/>
      <w:bookmarkStart w:id="15" w:name="PO_3000001867_PM015"/>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bookmarkEnd w:id="14"/>
      <w:bookmarkEnd w:id="15"/>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pPr>
        <w:spacing w:line="360" w:lineRule="auto"/>
        <w:rPr>
          <w:rFonts w:hint="eastAsia" w:ascii="黑体" w:hAnsi="黑体" w:eastAsia="黑体" w:cs="Times New Roman"/>
          <w:b/>
          <w:bCs/>
          <w:color w:val="auto"/>
          <w:sz w:val="24"/>
          <w:highlight w:val="none"/>
        </w:rPr>
      </w:pPr>
      <w:bookmarkStart w:id="16" w:name="_Toc35393621"/>
      <w:bookmarkStart w:id="17" w:name="_Toc28359079"/>
      <w:bookmarkStart w:id="18" w:name="_Toc35393790"/>
      <w:bookmarkStart w:id="19" w:name="_Toc28359002"/>
      <w:bookmarkStart w:id="20" w:name="_Hlk24379207"/>
      <w:r>
        <w:rPr>
          <w:rFonts w:hint="eastAsia" w:ascii="黑体" w:hAnsi="黑体" w:eastAsia="黑体" w:cs="Times New Roman"/>
          <w:b/>
          <w:bCs/>
          <w:color w:val="auto"/>
          <w:sz w:val="24"/>
          <w:highlight w:val="none"/>
        </w:rPr>
        <w:t>一、项目基本情况</w:t>
      </w:r>
      <w:bookmarkEnd w:id="16"/>
      <w:bookmarkEnd w:id="17"/>
      <w:bookmarkEnd w:id="18"/>
      <w:bookmarkEnd w:id="19"/>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bookmarkStart w:id="21" w:name="OLE_LINK3"/>
      <w:r>
        <w:rPr>
          <w:rFonts w:hint="eastAsia" w:ascii="宋体" w:hAnsi="宋体" w:eastAsia="宋体" w:cs="Times New Roman"/>
          <w:b w:val="0"/>
          <w:bCs w:val="0"/>
          <w:color w:val="auto"/>
          <w:szCs w:val="21"/>
          <w:highlight w:val="none"/>
        </w:rPr>
        <w:t>GXZC2025-G3-000960-GXKL</w:t>
      </w:r>
      <w:bookmarkEnd w:id="21"/>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20"/>
      <w:r>
        <w:rPr>
          <w:rFonts w:hint="eastAsia" w:ascii="宋体" w:hAnsi="宋体" w:eastAsia="宋体" w:cs="Times New Roman"/>
          <w:b w:val="0"/>
          <w:bCs w:val="0"/>
          <w:color w:val="auto"/>
          <w:szCs w:val="21"/>
          <w:highlight w:val="none"/>
        </w:rPr>
        <w:t>2025年全区自主就业退役士兵职业技能培训项目</w:t>
      </w:r>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Times New Roman"/>
          <w:b w:val="0"/>
          <w:bCs w:val="0"/>
          <w:color w:val="auto"/>
          <w:szCs w:val="21"/>
          <w:highlight w:val="none"/>
        </w:rPr>
        <w:t>预算</w:t>
      </w:r>
      <w:r>
        <w:rPr>
          <w:rFonts w:hint="eastAsia" w:ascii="宋体" w:hAnsi="宋体" w:cs="Times New Roman"/>
          <w:b w:val="0"/>
          <w:bCs w:val="0"/>
          <w:color w:val="auto"/>
          <w:szCs w:val="21"/>
          <w:highlight w:val="none"/>
          <w:lang w:val="en-US" w:eastAsia="zh-CN"/>
        </w:rPr>
        <w:t>总</w:t>
      </w:r>
      <w:r>
        <w:rPr>
          <w:rFonts w:hint="eastAsia" w:ascii="宋体" w:hAnsi="宋体" w:eastAsia="宋体" w:cs="Times New Roman"/>
          <w:b w:val="0"/>
          <w:bCs w:val="0"/>
          <w:color w:val="auto"/>
          <w:szCs w:val="21"/>
          <w:highlight w:val="none"/>
        </w:rPr>
        <w:t>金额</w:t>
      </w:r>
      <w:r>
        <w:rPr>
          <w:rFonts w:hint="eastAsia" w:ascii="宋体" w:hAnsi="宋体" w:cs="Times New Roman"/>
          <w:b w:val="0"/>
          <w:bCs w:val="0"/>
          <w:color w:val="auto"/>
          <w:szCs w:val="21"/>
          <w:highlight w:val="none"/>
          <w:lang w:eastAsia="zh-CN"/>
        </w:rPr>
        <w:t>（</w:t>
      </w:r>
      <w:r>
        <w:rPr>
          <w:rFonts w:hint="eastAsia" w:ascii="宋体" w:hAnsi="宋体" w:cs="Times New Roman"/>
          <w:b w:val="0"/>
          <w:bCs w:val="0"/>
          <w:color w:val="auto"/>
          <w:szCs w:val="21"/>
          <w:highlight w:val="none"/>
          <w:lang w:val="en-US" w:eastAsia="zh-CN"/>
        </w:rPr>
        <w:t>元</w:t>
      </w:r>
      <w:r>
        <w:rPr>
          <w:rFonts w:hint="eastAsia" w:ascii="宋体" w:hAnsi="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w:t>
      </w:r>
      <w:bookmarkStart w:id="22" w:name="PO_3000001867_PM001392"/>
      <w:r>
        <w:rPr>
          <w:rFonts w:hint="eastAsia" w:ascii="宋体" w:hAnsi="宋体" w:cs="Times New Roman"/>
          <w:b w:val="0"/>
          <w:bCs w:val="0"/>
          <w:color w:val="auto"/>
          <w:szCs w:val="21"/>
          <w:highlight w:val="none"/>
          <w:lang w:val="en-US" w:eastAsia="zh-CN"/>
        </w:rPr>
        <w:t>6240000.00</w:t>
      </w:r>
      <w:r>
        <w:rPr>
          <w:rFonts w:hint="eastAsia" w:ascii="宋体" w:hAnsi="宋体" w:cs="宋体"/>
          <w:color w:val="auto"/>
          <w:szCs w:val="21"/>
          <w:highlight w:val="none"/>
          <w:lang w:eastAsia="zh-CN"/>
        </w:rPr>
        <w:t>。</w:t>
      </w:r>
      <w:bookmarkEnd w:id="22"/>
    </w:p>
    <w:p>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bookmarkStart w:id="23" w:name="PO_3000001867_PM004"/>
      <w:r>
        <w:rPr>
          <w:rFonts w:hint="eastAsia" w:ascii="宋体" w:hAnsi="宋体" w:cs="宋体"/>
          <w:color w:val="auto"/>
          <w:szCs w:val="21"/>
          <w:highlight w:val="none"/>
          <w:lang w:eastAsia="zh-CN"/>
        </w:rPr>
        <w:t xml:space="preserve"> </w:t>
      </w:r>
      <w:bookmarkEnd w:id="23"/>
    </w:p>
    <w:p>
      <w:pPr>
        <w:spacing w:line="360" w:lineRule="auto"/>
        <w:ind w:firstLine="422" w:firstLineChars="200"/>
        <w:rPr>
          <w:rFonts w:hint="default" w:ascii="宋体" w:hAnsi="宋体" w:eastAsia="宋体" w:cs="Times New Roman"/>
          <w:b/>
          <w:bCs/>
          <w:color w:val="auto"/>
          <w:szCs w:val="21"/>
          <w:highlight w:val="none"/>
          <w:lang w:val="en-US" w:eastAsia="zh-CN"/>
        </w:rPr>
      </w:pPr>
      <w:bookmarkStart w:id="24" w:name="_Toc28359080"/>
      <w:bookmarkStart w:id="25" w:name="_Toc35393791"/>
      <w:bookmarkStart w:id="26" w:name="_Toc28359003"/>
      <w:bookmarkStart w:id="27" w:name="_Toc35393622"/>
      <w:r>
        <w:rPr>
          <w:rFonts w:hint="eastAsia" w:ascii="宋体" w:hAnsi="宋体" w:eastAsia="宋体" w:cs="Times New Roman"/>
          <w:b/>
          <w:bCs/>
          <w:color w:val="auto"/>
          <w:szCs w:val="21"/>
          <w:highlight w:val="none"/>
          <w:lang w:val="en-US" w:eastAsia="zh-CN"/>
        </w:rPr>
        <w:t>标项一</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标项名称：全区自主就业退役士兵职业技能培训（消防、公安）</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预算金额（元）：840000.00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w:t>
      </w:r>
      <w:r>
        <w:rPr>
          <w:rFonts w:hint="eastAsia" w:ascii="宋体" w:hAnsi="宋体" w:cs="Times New Roman"/>
          <w:color w:val="auto"/>
          <w:szCs w:val="21"/>
          <w:highlight w:val="none"/>
          <w:lang w:val="en-US" w:eastAsia="zh-CN"/>
        </w:rPr>
        <w:t>服务1项，</w:t>
      </w:r>
      <w:r>
        <w:rPr>
          <w:rFonts w:hint="eastAsia" w:ascii="宋体" w:hAnsi="宋体" w:eastAsia="宋体" w:cs="Times New Roman"/>
          <w:color w:val="auto"/>
          <w:szCs w:val="21"/>
          <w:highlight w:val="none"/>
          <w:lang w:val="en-US" w:eastAsia="zh-CN"/>
        </w:rPr>
        <w:t>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w:t>
      </w:r>
      <w:r>
        <w:rPr>
          <w:rFonts w:hint="eastAsia" w:ascii="宋体" w:hAnsi="宋体" w:cs="Times New Roman"/>
          <w:color w:val="auto"/>
          <w:szCs w:val="21"/>
          <w:highlight w:val="none"/>
          <w:lang w:val="en-US" w:eastAsia="zh-CN"/>
        </w:rPr>
        <w:t>是</w:t>
      </w:r>
      <w:r>
        <w:rPr>
          <w:rFonts w:hint="eastAsia" w:ascii="宋体" w:hAnsi="宋体" w:eastAsia="宋体" w:cs="Times New Roman"/>
          <w:color w:val="auto"/>
          <w:szCs w:val="21"/>
          <w:highlight w:val="none"/>
          <w:lang w:eastAsia="zh-CN"/>
        </w:rPr>
        <w:t>）接受联合体投标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标项二</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标项名称：全区自主就业退役士兵职业技能培训（南宁）</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标项三</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标项名称：全区自主就业退役士兵职业技能培训（柳州）</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w:t>
      </w:r>
      <w:r>
        <w:rPr>
          <w:rFonts w:hint="eastAsia"/>
          <w:color w:val="auto"/>
          <w:highlight w:val="none"/>
        </w:rPr>
        <w:t>全区自主就业退役士兵职业技能培训服务1项，</w:t>
      </w:r>
      <w:r>
        <w:rPr>
          <w:rFonts w:hint="eastAsia" w:ascii="宋体" w:hAnsi="宋体" w:eastAsia="宋体" w:cs="Times New Roman"/>
          <w:color w:val="auto"/>
          <w:szCs w:val="21"/>
          <w:highlight w:val="none"/>
          <w:lang w:val="en-US" w:eastAsia="zh-CN"/>
        </w:rPr>
        <w:t>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标项四</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标项名称：全区自主就业退役士兵职业技能培训（桂林）</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标项五</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标项名称：全区自主就业退役士兵职业技能培训（梧州）</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标项六</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标项名称：全区自主就业退役士兵职业技能培训（北海）</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标项七</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标项名称：全区自主就业退役士兵职业技能培训（防城港）</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标项八</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标项名称：全区自主就业退役士兵职业技能培训（钦州）</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ind w:firstLine="422" w:firstLineChars="200"/>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标项九</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标项名称：全区自主就业退役士兵职业技能培训（贵港）</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标项名称：全区自主就业退役士兵职业技能培训（玉林）</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预算金额（元）：500000.00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w:t>
      </w:r>
      <w:r>
        <w:rPr>
          <w:rFonts w:hint="eastAsia"/>
          <w:color w:val="auto"/>
          <w:highlight w:val="none"/>
        </w:rPr>
        <w:t>全区自主就业退役士兵职业技能培训服务1项，</w:t>
      </w:r>
      <w:r>
        <w:rPr>
          <w:rFonts w:hint="eastAsia" w:ascii="宋体" w:hAnsi="宋体" w:eastAsia="宋体" w:cs="Times New Roman"/>
          <w:color w:val="auto"/>
          <w:szCs w:val="21"/>
          <w:highlight w:val="none"/>
          <w:lang w:val="en-US" w:eastAsia="zh-CN"/>
        </w:rPr>
        <w:t>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标项十一</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标项名称：全区自主就业退役士兵职业技能培训（百色）</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w:t>
      </w:r>
      <w:r>
        <w:rPr>
          <w:rFonts w:hint="eastAsia"/>
          <w:color w:val="auto"/>
          <w:highlight w:val="none"/>
        </w:rPr>
        <w:t>全区自主就业退役士兵职业技能培训服务1项，</w:t>
      </w:r>
      <w:r>
        <w:rPr>
          <w:rFonts w:hint="eastAsia" w:ascii="宋体" w:hAnsi="宋体" w:eastAsia="宋体" w:cs="Times New Roman"/>
          <w:color w:val="auto"/>
          <w:szCs w:val="21"/>
          <w:highlight w:val="none"/>
          <w:lang w:val="en-US" w:eastAsia="zh-CN"/>
        </w:rPr>
        <w:t>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标项十二</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标项名称：全区自主就业退役士兵职业技能培训（贺州）</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标项十三</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标项名称：全区自主就业退役士兵职业技能培训（河池）</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标项十四</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标项名称：全区自主就业退役士兵职业技能培训（来宾）</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宋体" w:hAnsi="宋体" w:eastAsia="宋体" w:cs="Times New Roman"/>
          <w:b/>
          <w:bCs/>
          <w:color w:val="auto"/>
          <w:szCs w:val="21"/>
          <w:highlight w:val="none"/>
          <w:lang w:val="en-US" w:eastAsia="zh-CN"/>
        </w:rPr>
      </w:pPr>
    </w:p>
    <w:p>
      <w:pPr>
        <w:spacing w:line="360" w:lineRule="auto"/>
        <w:ind w:firstLine="422" w:firstLineChars="200"/>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标项十五</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标项名称：全区自主就业退役士兵职业技能培训（崇左）</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数量:1</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预算金额（元）：300000.00</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简要规格描述或项目基本概况介绍、用途</w:t>
      </w:r>
      <w:r>
        <w:rPr>
          <w:rFonts w:hint="eastAsia" w:ascii="宋体" w:hAnsi="宋体" w:eastAsia="宋体" w:cs="Times New Roman"/>
          <w:color w:val="auto"/>
          <w:szCs w:val="21"/>
          <w:highlight w:val="none"/>
          <w:lang w:val="en-US" w:eastAsia="zh-CN"/>
        </w:rPr>
        <w:t>：全区自主就业退役士兵职业技能培训服务1项，详见招标公告附件《采购需求》</w:t>
      </w:r>
    </w:p>
    <w:p>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合同履行期限：</w:t>
      </w:r>
      <w:r>
        <w:rPr>
          <w:rFonts w:hint="eastAsia" w:ascii="宋体" w:hAnsi="宋体" w:eastAsia="宋体" w:cs="Times New Roman"/>
          <w:color w:val="auto"/>
          <w:szCs w:val="21"/>
          <w:highlight w:val="none"/>
          <w:lang w:val="en-US" w:eastAsia="zh-CN"/>
        </w:rPr>
        <w:t>自合同签订之日起至2025年12月30日。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eastAsia="zh-CN"/>
        </w:rPr>
        <w:t>本项目（是）接受联合体投标</w:t>
      </w:r>
      <w:r>
        <w:rPr>
          <w:rFonts w:hint="eastAsia" w:ascii="宋体" w:hAnsi="宋体" w:eastAsia="宋体" w:cs="宋体"/>
          <w:color w:val="auto"/>
          <w:szCs w:val="21"/>
          <w:highlight w:val="none"/>
        </w:rPr>
        <w:t>。</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备注：无</w:t>
      </w:r>
    </w:p>
    <w:p>
      <w:pPr>
        <w:spacing w:line="360" w:lineRule="auto"/>
        <w:rPr>
          <w:rFonts w:hint="eastAsia" w:ascii="黑体" w:hAnsi="黑体" w:eastAsia="黑体" w:cs="Times New Roman"/>
          <w:b/>
          <w:bCs/>
          <w:color w:val="auto"/>
          <w:sz w:val="24"/>
          <w:highlight w:val="none"/>
        </w:rPr>
      </w:pPr>
    </w:p>
    <w:p>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4"/>
      <w:bookmarkEnd w:id="25"/>
      <w:bookmarkEnd w:id="26"/>
      <w:bookmarkEnd w:id="27"/>
    </w:p>
    <w:p>
      <w:pPr>
        <w:spacing w:line="360" w:lineRule="auto"/>
        <w:ind w:firstLine="420" w:firstLineChars="200"/>
        <w:rPr>
          <w:rFonts w:hint="eastAsia" w:ascii="宋体" w:hAnsi="宋体" w:eastAsia="宋体" w:cs="Times New Roman"/>
          <w:color w:val="auto"/>
          <w:szCs w:val="21"/>
          <w:highlight w:val="none"/>
          <w:lang w:eastAsia="zh-CN"/>
        </w:rPr>
      </w:pPr>
      <w:bookmarkStart w:id="28" w:name="_Toc28359004"/>
      <w:bookmarkStart w:id="29"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lang w:val="en-US" w:eastAsia="zh-CN"/>
        </w:rPr>
        <w:t>无</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w:t>
      </w:r>
      <w:bookmarkStart w:id="30" w:name="OLE_LINK4"/>
      <w:r>
        <w:rPr>
          <w:rFonts w:hint="eastAsia" w:ascii="宋体" w:hAnsi="宋体" w:cs="Times New Roman"/>
          <w:color w:val="auto"/>
          <w:szCs w:val="21"/>
          <w:highlight w:val="none"/>
          <w:lang w:val="en-US" w:eastAsia="zh-CN"/>
        </w:rPr>
        <w:t>供应商应为</w:t>
      </w:r>
      <w:r>
        <w:rPr>
          <w:rFonts w:hint="eastAsia" w:ascii="宋体" w:hAnsi="宋体" w:eastAsia="宋体" w:cs="Times New Roman"/>
          <w:color w:val="auto"/>
          <w:szCs w:val="21"/>
          <w:highlight w:val="none"/>
        </w:rPr>
        <w:t>具有有效的办学许可证</w:t>
      </w:r>
      <w:r>
        <w:rPr>
          <w:rFonts w:hint="eastAsia" w:ascii="宋体" w:hAnsi="宋体" w:cs="Times New Roman"/>
          <w:color w:val="auto"/>
          <w:szCs w:val="21"/>
          <w:highlight w:val="none"/>
          <w:lang w:val="en-US" w:eastAsia="zh-CN"/>
        </w:rPr>
        <w:t>的单位</w:t>
      </w:r>
      <w:r>
        <w:rPr>
          <w:rFonts w:hint="eastAsia" w:ascii="宋体" w:hAnsi="宋体" w:eastAsia="宋体" w:cs="Times New Roman"/>
          <w:color w:val="auto"/>
          <w:szCs w:val="21"/>
          <w:highlight w:val="none"/>
        </w:rPr>
        <w:t>（民办培训机构或民办学校）或事业单位法人证书（公办院校）或经相关政府部门批准具备承接政府补贴性培训的机构</w:t>
      </w:r>
      <w:r>
        <w:rPr>
          <w:rFonts w:hint="eastAsia" w:ascii="宋体" w:hAnsi="宋体" w:eastAsia="宋体" w:cs="Times New Roman"/>
          <w:color w:val="auto"/>
          <w:szCs w:val="21"/>
          <w:highlight w:val="none"/>
          <w:lang w:eastAsia="zh-CN"/>
        </w:rPr>
        <w:t>。</w:t>
      </w:r>
    </w:p>
    <w:bookmarkEnd w:id="30"/>
    <w:p>
      <w:pPr>
        <w:spacing w:line="360" w:lineRule="auto"/>
        <w:rPr>
          <w:rFonts w:hint="eastAsia" w:ascii="黑体" w:hAnsi="黑体" w:eastAsia="黑体" w:cs="Times New Roman"/>
          <w:b/>
          <w:bCs/>
          <w:color w:val="auto"/>
          <w:sz w:val="24"/>
          <w:highlight w:val="none"/>
        </w:rPr>
      </w:pPr>
      <w:bookmarkStart w:id="31" w:name="_Toc35393792"/>
      <w:bookmarkStart w:id="32" w:name="_Toc35393623"/>
      <w:r>
        <w:rPr>
          <w:rFonts w:hint="eastAsia" w:ascii="黑体" w:hAnsi="黑体" w:eastAsia="黑体" w:cs="Times New Roman"/>
          <w:b/>
          <w:bCs/>
          <w:color w:val="auto"/>
          <w:sz w:val="24"/>
          <w:highlight w:val="none"/>
        </w:rPr>
        <w:t>三、获取招标文件</w:t>
      </w:r>
      <w:bookmarkEnd w:id="28"/>
      <w:bookmarkEnd w:id="29"/>
      <w:bookmarkEnd w:id="31"/>
      <w:bookmarkEnd w:id="32"/>
    </w:p>
    <w:p>
      <w:pPr>
        <w:snapToGrid w:val="0"/>
        <w:spacing w:line="360" w:lineRule="auto"/>
        <w:ind w:firstLine="472" w:firstLineChars="225"/>
        <w:rPr>
          <w:rFonts w:hint="eastAsia" w:ascii="宋体" w:hAnsi="宋体" w:eastAsia="宋体" w:cs="Times New Roman"/>
          <w:color w:val="auto"/>
          <w:szCs w:val="21"/>
          <w:highlight w:val="none"/>
        </w:rPr>
      </w:pPr>
      <w:bookmarkStart w:id="33" w:name="_Toc28359082"/>
      <w:bookmarkStart w:id="34" w:name="_Toc28359005"/>
      <w:bookmarkStart w:id="35" w:name="_Toc35393793"/>
      <w:bookmarkStart w:id="36"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13</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eastAsia="宋体" w:cs="Times New Roman"/>
          <w:color w:val="auto"/>
          <w:szCs w:val="21"/>
          <w:highlight w:val="none"/>
        </w:rPr>
        <w:t>（北京时间，法定节假日除外）。</w:t>
      </w:r>
    </w:p>
    <w:p>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bookmarkStart w:id="37" w:name="OLE_LINK5"/>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bookmarkEnd w:id="37"/>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4"/>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33"/>
      <w:bookmarkEnd w:id="34"/>
      <w:r>
        <w:rPr>
          <w:rFonts w:hint="eastAsia" w:ascii="黑体" w:hAnsi="黑体" w:eastAsia="黑体" w:cs="Times New Roman"/>
          <w:b/>
          <w:bCs/>
          <w:color w:val="auto"/>
          <w:sz w:val="24"/>
          <w:highlight w:val="none"/>
        </w:rPr>
        <w:t>截止时间、开标时间和地点</w:t>
      </w:r>
      <w:bookmarkEnd w:id="35"/>
      <w:bookmarkEnd w:id="36"/>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w:t>
      </w:r>
      <w:bookmarkStart w:id="38" w:name="PO_3000001867_PM015_1"/>
      <w:r>
        <w:rPr>
          <w:rFonts w:hint="eastAsia" w:ascii="宋体" w:hAnsi="宋体" w:cs="宋体"/>
          <w:bCs/>
          <w:color w:val="auto"/>
          <w:szCs w:val="21"/>
          <w:highlight w:val="none"/>
          <w:u w:val="single"/>
          <w:lang w:val="en-US" w:eastAsia="zh-CN"/>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szCs w:val="21"/>
          <w:highlight w:val="none"/>
        </w:rPr>
        <w:t>（北京时间）</w:t>
      </w:r>
      <w:bookmarkEnd w:id="38"/>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p>
    <w:p>
      <w:pPr>
        <w:spacing w:line="360" w:lineRule="auto"/>
        <w:rPr>
          <w:rFonts w:hint="eastAsia" w:ascii="黑体" w:hAnsi="黑体" w:eastAsia="黑体" w:cs="Times New Roman"/>
          <w:b/>
          <w:bCs/>
          <w:color w:val="auto"/>
          <w:sz w:val="24"/>
          <w:highlight w:val="none"/>
        </w:rPr>
      </w:pPr>
      <w:bookmarkStart w:id="39" w:name="_Toc28359084"/>
      <w:bookmarkStart w:id="40" w:name="_Toc35393625"/>
      <w:bookmarkStart w:id="41" w:name="_Toc28359007"/>
      <w:bookmarkStart w:id="42" w:name="_Toc35393794"/>
      <w:r>
        <w:rPr>
          <w:rFonts w:hint="eastAsia" w:ascii="黑体" w:hAnsi="黑体" w:eastAsia="黑体" w:cs="Times New Roman"/>
          <w:b/>
          <w:bCs/>
          <w:color w:val="auto"/>
          <w:sz w:val="24"/>
          <w:highlight w:val="none"/>
        </w:rPr>
        <w:t>五、公告期限</w:t>
      </w:r>
      <w:bookmarkEnd w:id="39"/>
      <w:bookmarkEnd w:id="40"/>
      <w:bookmarkEnd w:id="41"/>
      <w:bookmarkEnd w:id="42"/>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rPr>
          <w:rFonts w:hint="eastAsia" w:ascii="黑体" w:hAnsi="黑体" w:eastAsia="黑体" w:cs="Times New Roman"/>
          <w:b/>
          <w:bCs/>
          <w:color w:val="auto"/>
          <w:sz w:val="24"/>
          <w:highlight w:val="none"/>
        </w:rPr>
      </w:pPr>
      <w:bookmarkStart w:id="43" w:name="_Toc35393626"/>
      <w:bookmarkStart w:id="44" w:name="_Toc35393795"/>
      <w:r>
        <w:rPr>
          <w:rFonts w:hint="eastAsia" w:ascii="黑体" w:hAnsi="黑体" w:eastAsia="黑体" w:cs="Times New Roman"/>
          <w:b/>
          <w:bCs/>
          <w:color w:val="auto"/>
          <w:sz w:val="24"/>
          <w:highlight w:val="none"/>
        </w:rPr>
        <w:t>六、其他补充事宜</w:t>
      </w:r>
      <w:bookmarkEnd w:id="43"/>
      <w:bookmarkEnd w:id="44"/>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pPr>
        <w:spacing w:line="360" w:lineRule="auto"/>
        <w:ind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r>
        <w:rPr>
          <w:rFonts w:hint="eastAsia" w:ascii="宋体" w:hAnsi="宋体" w:cs="宋体"/>
          <w:b/>
          <w:bCs/>
          <w:color w:val="auto"/>
          <w:szCs w:val="21"/>
          <w:highlight w:val="none"/>
        </w:rPr>
        <w:t>相关要求：</w:t>
      </w:r>
    </w:p>
    <w:p>
      <w:pPr>
        <w:spacing w:line="360" w:lineRule="auto"/>
        <w:ind w:firstLine="840" w:firstLineChars="4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投标保证金金额（</w:t>
      </w:r>
      <w:r>
        <w:rPr>
          <w:rFonts w:hint="eastAsia" w:ascii="宋体" w:hAnsi="宋体" w:cs="宋体"/>
          <w:color w:val="auto"/>
          <w:kern w:val="0"/>
          <w:szCs w:val="21"/>
          <w:highlight w:val="none"/>
          <w:lang w:val="en-US" w:eastAsia="zh-CN"/>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分标1：¥800.00；分标2：¥500.00；分标3：¥500.00；分标4:¥500.00；分标5：¥300.00；分标6：¥300.00；分标7：¥300.00；分标8：¥500.00；分标9：¥300.00；分标10：¥300.00；分标11：¥300.00；分标12：¥300.00；分标13：¥300.00；分标14：¥300.00；分标15：¥300.00；</w:t>
      </w:r>
    </w:p>
    <w:p>
      <w:pPr>
        <w:pStyle w:val="33"/>
        <w:spacing w:line="360" w:lineRule="auto"/>
        <w:ind w:left="495"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投标保证金的</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。采用银行转账方式的，在投标截止时间前交至采购代理机构指定账户并且到账</w:t>
      </w:r>
      <w:r>
        <w:rPr>
          <w:rFonts w:hint="eastAsia" w:ascii="宋体" w:hAnsi="宋体" w:eastAsia="宋体" w:cs="宋体"/>
          <w:color w:val="auto"/>
          <w:kern w:val="0"/>
          <w:szCs w:val="21"/>
          <w:highlight w:val="none"/>
          <w:lang w:eastAsia="zh-CN"/>
        </w:rPr>
        <w:t>。缴</w:t>
      </w:r>
      <w:r>
        <w:rPr>
          <w:rFonts w:hint="eastAsia" w:ascii="宋体" w:hAnsi="宋体" w:eastAsia="宋体" w:cs="宋体"/>
          <w:color w:val="auto"/>
          <w:kern w:val="0"/>
          <w:szCs w:val="21"/>
          <w:highlight w:val="none"/>
        </w:rPr>
        <w:t>纳投标保证金指定账户</w:t>
      </w:r>
      <w:r>
        <w:rPr>
          <w:rFonts w:hint="eastAsia" w:ascii="宋体" w:hAnsi="宋体" w:eastAsia="宋体" w:cs="宋体"/>
          <w:color w:val="auto"/>
          <w:kern w:val="0"/>
          <w:szCs w:val="21"/>
          <w:highlight w:val="none"/>
          <w:lang w:eastAsia="zh-CN"/>
        </w:rPr>
        <w:t>的信息：</w:t>
      </w:r>
    </w:p>
    <w:p>
      <w:pPr>
        <w:pStyle w:val="33"/>
        <w:spacing w:line="360" w:lineRule="auto"/>
        <w:ind w:left="495"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u w:val="single"/>
        </w:rPr>
        <w:t>招商银行南宁金浦路支行</w:t>
      </w:r>
    </w:p>
    <w:p>
      <w:pPr>
        <w:pStyle w:val="33"/>
        <w:spacing w:line="360" w:lineRule="auto"/>
        <w:ind w:left="495"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u w:val="single"/>
        </w:rPr>
        <w:t>广西科联招标中心有限公司</w:t>
      </w:r>
    </w:p>
    <w:p>
      <w:pPr>
        <w:pStyle w:val="33"/>
        <w:spacing w:line="360" w:lineRule="auto"/>
        <w:ind w:left="495" w:firstLine="420" w:firstLineChars="200"/>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u w:val="single"/>
        </w:rPr>
        <w:t>分标1：7719011969103333000008740；分标2：771901196910333300000874</w:t>
      </w:r>
      <w:r>
        <w:rPr>
          <w:rFonts w:hint="eastAsia" w:ascii="宋体" w:hAnsi="宋体" w:cs="宋体"/>
          <w:color w:val="auto"/>
          <w:kern w:val="0"/>
          <w:szCs w:val="21"/>
          <w:highlight w:val="none"/>
          <w:u w:val="single"/>
          <w:lang w:val="en-US" w:eastAsia="zh-CN"/>
        </w:rPr>
        <w:t>1</w:t>
      </w:r>
      <w:r>
        <w:rPr>
          <w:rFonts w:hint="eastAsia" w:ascii="宋体" w:hAnsi="宋体" w:eastAsia="宋体" w:cs="宋体"/>
          <w:color w:val="auto"/>
          <w:kern w:val="0"/>
          <w:szCs w:val="21"/>
          <w:highlight w:val="none"/>
          <w:u w:val="single"/>
        </w:rPr>
        <w:t>；分标3:771901196910333300000874</w:t>
      </w:r>
      <w:r>
        <w:rPr>
          <w:rFonts w:hint="eastAsia" w:ascii="宋体" w:hAnsi="宋体" w:cs="宋体"/>
          <w:color w:val="auto"/>
          <w:kern w:val="0"/>
          <w:szCs w:val="21"/>
          <w:highlight w:val="none"/>
          <w:u w:val="single"/>
          <w:lang w:val="en-US" w:eastAsia="zh-CN"/>
        </w:rPr>
        <w:t>2</w:t>
      </w:r>
      <w:r>
        <w:rPr>
          <w:rFonts w:hint="eastAsia" w:ascii="宋体" w:hAnsi="宋体" w:eastAsia="宋体" w:cs="宋体"/>
          <w:color w:val="auto"/>
          <w:kern w:val="0"/>
          <w:szCs w:val="21"/>
          <w:highlight w:val="none"/>
          <w:u w:val="single"/>
        </w:rPr>
        <w:t>；分标4：771901196910333300000874</w:t>
      </w:r>
      <w:r>
        <w:rPr>
          <w:rFonts w:hint="eastAsia" w:ascii="宋体" w:hAnsi="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；分标5：771901196910333300000874</w:t>
      </w:r>
      <w:r>
        <w:rPr>
          <w:rFonts w:hint="eastAsia" w:ascii="宋体" w:hAnsi="宋体" w:cs="宋体"/>
          <w:color w:val="auto"/>
          <w:kern w:val="0"/>
          <w:szCs w:val="21"/>
          <w:highlight w:val="none"/>
          <w:u w:val="single"/>
          <w:lang w:val="en-US" w:eastAsia="zh-CN"/>
        </w:rPr>
        <w:t>4</w:t>
      </w:r>
      <w:r>
        <w:rPr>
          <w:rFonts w:hint="eastAsia" w:ascii="宋体" w:hAnsi="宋体" w:eastAsia="宋体" w:cs="宋体"/>
          <w:color w:val="auto"/>
          <w:kern w:val="0"/>
          <w:szCs w:val="21"/>
          <w:highlight w:val="none"/>
          <w:u w:val="single"/>
        </w:rPr>
        <w:t>；分标6：771901196910333300000874</w:t>
      </w:r>
      <w:r>
        <w:rPr>
          <w:rFonts w:hint="eastAsia" w:ascii="宋体" w:hAnsi="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；分标7：771901196910333300000874</w:t>
      </w:r>
      <w:r>
        <w:rPr>
          <w:rFonts w:hint="eastAsia" w:ascii="宋体" w:hAnsi="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rPr>
        <w:t>；分标8：771901196910333300000874</w:t>
      </w:r>
      <w:r>
        <w:rPr>
          <w:rFonts w:hint="eastAsia" w:ascii="宋体" w:hAnsi="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；分标9：771901196910333300000874</w:t>
      </w:r>
      <w:r>
        <w:rPr>
          <w:rFonts w:hint="eastAsia" w:ascii="宋体" w:hAnsi="宋体" w:cs="宋体"/>
          <w:color w:val="auto"/>
          <w:kern w:val="0"/>
          <w:szCs w:val="21"/>
          <w:highlight w:val="none"/>
          <w:u w:val="single"/>
          <w:lang w:val="en-US" w:eastAsia="zh-CN"/>
        </w:rPr>
        <w:t>8</w:t>
      </w:r>
      <w:r>
        <w:rPr>
          <w:rFonts w:hint="eastAsia" w:ascii="宋体" w:hAnsi="宋体" w:eastAsia="宋体" w:cs="宋体"/>
          <w:color w:val="auto"/>
          <w:kern w:val="0"/>
          <w:szCs w:val="21"/>
          <w:highlight w:val="none"/>
          <w:u w:val="single"/>
        </w:rPr>
        <w:t>；分标10：771901196910333300000874</w:t>
      </w:r>
      <w:r>
        <w:rPr>
          <w:rFonts w:hint="eastAsia" w:ascii="宋体" w:hAnsi="宋体" w:cs="宋体"/>
          <w:color w:val="auto"/>
          <w:kern w:val="0"/>
          <w:szCs w:val="21"/>
          <w:highlight w:val="none"/>
          <w:u w:val="single"/>
          <w:lang w:val="en-US" w:eastAsia="zh-CN"/>
        </w:rPr>
        <w:t>9</w:t>
      </w:r>
      <w:r>
        <w:rPr>
          <w:rFonts w:hint="eastAsia" w:ascii="宋体" w:hAnsi="宋体" w:eastAsia="宋体" w:cs="宋体"/>
          <w:color w:val="auto"/>
          <w:kern w:val="0"/>
          <w:szCs w:val="21"/>
          <w:highlight w:val="none"/>
          <w:u w:val="single"/>
        </w:rPr>
        <w:t>；分标11：77190119691033330000087</w:t>
      </w:r>
      <w:r>
        <w:rPr>
          <w:rFonts w:hint="eastAsia" w:ascii="宋体" w:hAnsi="宋体" w:cs="宋体"/>
          <w:color w:val="auto"/>
          <w:kern w:val="0"/>
          <w:szCs w:val="21"/>
          <w:highlight w:val="none"/>
          <w:u w:val="single"/>
          <w:lang w:val="en-US" w:eastAsia="zh-CN"/>
        </w:rPr>
        <w:t>50</w:t>
      </w:r>
      <w:r>
        <w:rPr>
          <w:rFonts w:hint="eastAsia" w:ascii="宋体" w:hAnsi="宋体" w:eastAsia="宋体" w:cs="宋体"/>
          <w:color w:val="auto"/>
          <w:kern w:val="0"/>
          <w:szCs w:val="21"/>
          <w:highlight w:val="none"/>
          <w:u w:val="single"/>
        </w:rPr>
        <w:t>；分标12：77190119691033330000087</w:t>
      </w:r>
      <w:r>
        <w:rPr>
          <w:rFonts w:hint="eastAsia" w:ascii="宋体" w:hAnsi="宋体" w:cs="宋体"/>
          <w:color w:val="auto"/>
          <w:kern w:val="0"/>
          <w:szCs w:val="21"/>
          <w:highlight w:val="none"/>
          <w:u w:val="single"/>
          <w:lang w:val="en-US" w:eastAsia="zh-CN"/>
        </w:rPr>
        <w:t>51</w:t>
      </w:r>
      <w:r>
        <w:rPr>
          <w:rFonts w:hint="eastAsia" w:ascii="宋体" w:hAnsi="宋体" w:eastAsia="宋体" w:cs="宋体"/>
          <w:color w:val="auto"/>
          <w:kern w:val="0"/>
          <w:szCs w:val="21"/>
          <w:highlight w:val="none"/>
          <w:u w:val="single"/>
        </w:rPr>
        <w:t>；分标13：77190119691033330000087</w:t>
      </w:r>
      <w:r>
        <w:rPr>
          <w:rFonts w:hint="eastAsia" w:ascii="宋体" w:hAnsi="宋体" w:cs="宋体"/>
          <w:color w:val="auto"/>
          <w:kern w:val="0"/>
          <w:szCs w:val="21"/>
          <w:highlight w:val="none"/>
          <w:u w:val="single"/>
          <w:lang w:val="en-US" w:eastAsia="zh-CN"/>
        </w:rPr>
        <w:t>52</w:t>
      </w:r>
      <w:r>
        <w:rPr>
          <w:rFonts w:hint="eastAsia" w:ascii="宋体" w:hAnsi="宋体" w:eastAsia="宋体" w:cs="宋体"/>
          <w:color w:val="auto"/>
          <w:kern w:val="0"/>
          <w:szCs w:val="21"/>
          <w:highlight w:val="none"/>
          <w:u w:val="single"/>
        </w:rPr>
        <w:t>；分标14：77190119691033330000087</w:t>
      </w:r>
      <w:r>
        <w:rPr>
          <w:rFonts w:hint="eastAsia" w:ascii="宋体" w:hAnsi="宋体" w:cs="宋体"/>
          <w:color w:val="auto"/>
          <w:kern w:val="0"/>
          <w:szCs w:val="21"/>
          <w:highlight w:val="none"/>
          <w:u w:val="single"/>
          <w:lang w:val="en-US" w:eastAsia="zh-CN"/>
        </w:rPr>
        <w:t>53；分标15：7719011969103333000008769。</w:t>
      </w:r>
    </w:p>
    <w:p>
      <w:pPr>
        <w:pStyle w:val="33"/>
        <w:spacing w:line="360" w:lineRule="auto"/>
        <w:ind w:left="0" w:firstLine="840" w:firstLineChars="400"/>
        <w:rPr>
          <w:rFonts w:hint="eastAsia" w:ascii="宋体" w:hAnsi="宋体" w:cs="宋体"/>
          <w:color w:val="auto"/>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否则视为无效投标保证金</w:t>
      </w:r>
      <w:r>
        <w:rPr>
          <w:rFonts w:hint="eastAsia" w:ascii="宋体" w:hAnsi="宋体" w:eastAsia="宋体" w:cs="宋体"/>
          <w:color w:val="auto"/>
          <w:kern w:val="0"/>
          <w:szCs w:val="21"/>
          <w:highlight w:val="none"/>
        </w:rPr>
        <w:t>。</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pPr>
        <w:spacing w:line="360" w:lineRule="auto"/>
        <w:ind w:firstLine="315" w:firstLineChars="15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"http://zfcg.gxzf.gov.cn/(广西政府采购网))、http:/gxggzy.gxzf.gov.cn/（广西壮族自治区公共资源交易中心）。"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http://www.ccgp.gov.cn/（中国政府采购网）、http://www.ccgp-guangxi.gov.cn/ (中国政府采购网广西分网)</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http://gxggzy.gxzf.gov.cn/（广西壮族自治区公共资源交易中心）。</w:t>
      </w:r>
      <w:r>
        <w:rPr>
          <w:rFonts w:hint="eastAsia" w:ascii="宋体" w:hAnsi="宋体" w:eastAsia="宋体" w:cs="宋体"/>
          <w:color w:val="auto"/>
          <w:kern w:val="0"/>
          <w:sz w:val="21"/>
          <w:szCs w:val="21"/>
          <w:highlight w:val="none"/>
          <w:lang w:val="en-US" w:eastAsia="zh-CN" w:bidi="ar-SA"/>
        </w:rPr>
        <w:fldChar w:fldCharType="end"/>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pP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pPr>
        <w:spacing w:line="360" w:lineRule="auto"/>
        <w:rPr>
          <w:rFonts w:hint="eastAsia" w:ascii="黑体" w:hAnsi="黑体" w:eastAsia="黑体" w:cs="Times New Roman"/>
          <w:b/>
          <w:bCs/>
          <w:color w:val="auto"/>
          <w:sz w:val="24"/>
          <w:highlight w:val="none"/>
        </w:rPr>
      </w:pPr>
      <w:bookmarkStart w:id="45" w:name="_Toc35393796"/>
      <w:bookmarkStart w:id="46" w:name="_Toc28359008"/>
      <w:bookmarkStart w:id="47" w:name="_Toc28359085"/>
      <w:bookmarkStart w:id="48" w:name="_Toc35393627"/>
      <w:r>
        <w:rPr>
          <w:rFonts w:hint="eastAsia" w:ascii="黑体" w:hAnsi="黑体" w:eastAsia="黑体" w:cs="Times New Roman"/>
          <w:b/>
          <w:bCs/>
          <w:color w:val="auto"/>
          <w:sz w:val="24"/>
          <w:highlight w:val="none"/>
        </w:rPr>
        <w:t>七、对本次招标提出询问，请按以下方式联系。</w:t>
      </w:r>
      <w:bookmarkEnd w:id="45"/>
      <w:bookmarkEnd w:id="46"/>
      <w:bookmarkEnd w:id="47"/>
      <w:bookmarkEnd w:id="48"/>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名称：广西壮族自治区退役军人事务厅</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地址：南宁市兴宁区民主路49号</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黄工，0771-2869242</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p>
    <w:p>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名称：</w:t>
      </w:r>
      <w:bookmarkStart w:id="49" w:name="PO_3000001866_PM031_1"/>
      <w:r>
        <w:rPr>
          <w:rFonts w:hint="eastAsia" w:ascii="宋体" w:hAnsi="宋体" w:eastAsia="宋体" w:cs="宋体"/>
          <w:color w:val="auto"/>
          <w:kern w:val="0"/>
          <w:szCs w:val="21"/>
          <w:highlight w:val="none"/>
          <w:u w:val="none"/>
        </w:rPr>
        <w:t>广西科联招标中心有限公司</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bookmarkEnd w:id="49"/>
    </w:p>
    <w:p>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bookmarkStart w:id="50" w:name="PO_3000001866_PM035_1"/>
      <w:r>
        <w:rPr>
          <w:rFonts w:hint="eastAsia" w:ascii="宋体" w:hAnsi="宋体" w:eastAsia="宋体" w:cs="宋体"/>
          <w:color w:val="auto"/>
          <w:kern w:val="0"/>
          <w:szCs w:val="21"/>
          <w:highlight w:val="none"/>
          <w:u w:val="none"/>
        </w:rPr>
        <w:t>广西南宁市大学东路170号</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bookmarkEnd w:id="50"/>
    </w:p>
    <w:p>
      <w:pPr>
        <w:spacing w:line="360" w:lineRule="auto"/>
        <w:ind w:firstLine="420" w:firstLineChars="200"/>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0771-3482237                          </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3.项目联系方式</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项目联系人</w:t>
      </w:r>
      <w:r>
        <w:rPr>
          <w:rFonts w:hint="eastAsia" w:ascii="宋体" w:hAnsi="宋体" w:eastAsia="宋体" w:cs="宋体"/>
          <w:color w:val="auto"/>
          <w:kern w:val="0"/>
          <w:szCs w:val="21"/>
          <w:highlight w:val="none"/>
          <w:u w:val="none"/>
          <w:lang w:eastAsia="zh-CN"/>
        </w:rPr>
        <w:t>：</w:t>
      </w:r>
      <w:r>
        <w:rPr>
          <w:rFonts w:hint="eastAsia" w:ascii="宋体" w:hAnsi="宋体" w:cs="宋体"/>
          <w:color w:val="auto"/>
          <w:kern w:val="0"/>
          <w:szCs w:val="21"/>
          <w:highlight w:val="none"/>
          <w:u w:val="none"/>
          <w:lang w:val="en-US" w:eastAsia="zh-CN"/>
        </w:rPr>
        <w:t>欧明聪</w:t>
      </w:r>
    </w:p>
    <w:p>
      <w:pPr>
        <w:spacing w:line="360" w:lineRule="auto"/>
        <w:ind w:firstLine="420" w:firstLineChars="200"/>
        <w:rPr>
          <w:rFonts w:hint="eastAsia" w:ascii="宋体" w:hAnsi="宋体" w:eastAsia="宋体" w:cs="Times New Roman"/>
          <w:color w:val="auto"/>
          <w:szCs w:val="21"/>
          <w:highlight w:val="none"/>
          <w:u w:val="none"/>
        </w:rPr>
      </w:pPr>
      <w:r>
        <w:rPr>
          <w:rFonts w:hint="eastAsia" w:ascii="宋体" w:hAnsi="宋体" w:cs="宋体"/>
          <w:color w:val="auto"/>
          <w:kern w:val="0"/>
          <w:szCs w:val="21"/>
          <w:highlight w:val="none"/>
          <w:u w:val="none"/>
          <w:lang w:val="en-US" w:eastAsia="zh-CN"/>
        </w:rPr>
        <w:t>电  话</w:t>
      </w:r>
      <w:r>
        <w:rPr>
          <w:rFonts w:hint="eastAsia" w:ascii="宋体" w:hAnsi="宋体" w:eastAsia="宋体" w:cs="宋体"/>
          <w:color w:val="auto"/>
          <w:kern w:val="0"/>
          <w:szCs w:val="21"/>
          <w:highlight w:val="none"/>
          <w:u w:val="none"/>
        </w:rPr>
        <w:t>：</w:t>
      </w:r>
      <w:bookmarkStart w:id="51" w:name="PO_3000001866_PM033"/>
      <w:r>
        <w:rPr>
          <w:rFonts w:hint="eastAsia" w:ascii="宋体" w:hAnsi="宋体" w:cs="宋体"/>
          <w:color w:val="auto"/>
          <w:kern w:val="0"/>
          <w:szCs w:val="21"/>
          <w:highlight w:val="none"/>
          <w:u w:val="none"/>
          <w:lang w:val="en-US" w:eastAsia="zh-CN"/>
        </w:rPr>
        <w:t xml:space="preserve">0771-3482237                          </w:t>
      </w:r>
      <w:bookmarkEnd w:id="51"/>
    </w:p>
    <w:p>
      <w:pPr>
        <w:widowControl/>
        <w:spacing w:line="360" w:lineRule="auto"/>
        <w:jc w:val="left"/>
        <w:rPr>
          <w:rFonts w:ascii="宋体" w:hAnsi="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pPr>
        <w:pStyle w:val="13"/>
        <w:jc w:val="center"/>
        <w:outlineLvl w:val="0"/>
        <w:rPr>
          <w:rFonts w:hint="eastAsia" w:ascii="Times New Roman" w:hAnsi="Times New Roman" w:eastAsia="宋体" w:cs="Times New Roman"/>
          <w:b/>
          <w:color w:val="auto"/>
          <w:sz w:val="36"/>
          <w:highlight w:val="none"/>
        </w:rPr>
      </w:pPr>
      <w:bookmarkStart w:id="52" w:name="_Toc532545042"/>
      <w:bookmarkStart w:id="53" w:name="_Toc17621"/>
      <w:bookmarkStart w:id="54" w:name="_Toc7686"/>
      <w:bookmarkStart w:id="55" w:name="_Toc24210"/>
      <w:bookmarkStart w:id="56" w:name="_Toc13449"/>
      <w:bookmarkStart w:id="57" w:name="_Toc7337"/>
      <w:bookmarkStart w:id="58" w:name="_Toc4483"/>
      <w:bookmarkStart w:id="59" w:name="_Toc8382"/>
      <w:bookmarkStart w:id="60" w:name="_Toc21081"/>
      <w:bookmarkStart w:id="61" w:name="_Toc937"/>
      <w:bookmarkStart w:id="62" w:name="_Toc22408"/>
      <w:bookmarkStart w:id="63" w:name="_Toc28689"/>
      <w:bookmarkStart w:id="64" w:name="_Toc32573"/>
      <w:bookmarkStart w:id="65" w:name="_Toc2299"/>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52"/>
      <w:r>
        <w:rPr>
          <w:rFonts w:hint="eastAsia" w:ascii="Times New Roman" w:hAnsi="Times New Roman" w:eastAsia="宋体" w:cs="Times New Roman"/>
          <w:b/>
          <w:color w:val="auto"/>
          <w:sz w:val="36"/>
          <w:highlight w:val="none"/>
        </w:rPr>
        <w:t>采购需求</w:t>
      </w:r>
      <w:bookmarkEnd w:id="53"/>
      <w:bookmarkEnd w:id="54"/>
      <w:bookmarkEnd w:id="55"/>
      <w:bookmarkEnd w:id="56"/>
      <w:bookmarkEnd w:id="57"/>
      <w:bookmarkEnd w:id="58"/>
      <w:bookmarkEnd w:id="59"/>
      <w:bookmarkEnd w:id="60"/>
      <w:bookmarkEnd w:id="61"/>
      <w:bookmarkEnd w:id="62"/>
      <w:bookmarkEnd w:id="63"/>
      <w:bookmarkEnd w:id="64"/>
      <w:bookmarkEnd w:id="65"/>
    </w:p>
    <w:p>
      <w:pPr>
        <w:adjustRightInd w:val="0"/>
        <w:spacing w:line="340" w:lineRule="exact"/>
        <w:rPr>
          <w:rFonts w:ascii="Times New Roman" w:hAnsi="宋体" w:eastAsia="宋体" w:cs="Times New Roman"/>
          <w:b/>
          <w:color w:val="auto"/>
          <w:szCs w:val="21"/>
          <w:highlight w:val="none"/>
        </w:rPr>
      </w:pPr>
    </w:p>
    <w:p>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.投标人必须对投标文件中提供的证明材料和资质文件真实性负责，如出现虚假应标情况，投标人除</w:t>
      </w:r>
      <w:r>
        <w:rPr>
          <w:rFonts w:hint="eastAsia" w:ascii="宋体" w:hAnsi="宋体" w:cs="宋体"/>
          <w:color w:val="auto"/>
          <w:szCs w:val="21"/>
          <w:highlight w:val="none"/>
        </w:rPr>
        <w:t>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其他未列明行业</w:t>
      </w:r>
    </w:p>
    <w:p>
      <w:pPr>
        <w:keepNext w:val="0"/>
        <w:keepLines w:val="0"/>
        <w:pageBreakBefore w:val="0"/>
        <w:widowControl w:val="0"/>
        <w:kinsoku/>
        <w:wordWrap/>
        <w:overflowPunct/>
        <w:topLinePunct w:val="0"/>
        <w:autoSpaceDE/>
        <w:autoSpaceDN/>
        <w:bidi w:val="0"/>
        <w:adjustRightInd/>
        <w:snapToGrid/>
        <w:spacing w:line="420" w:lineRule="exact"/>
        <w:ind w:left="-10" w:leftChars="-5" w:right="2" w:righ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6.</w:t>
      </w:r>
      <w:r>
        <w:rPr>
          <w:rFonts w:hint="eastAsia" w:ascii="宋体" w:hAnsi="宋体" w:eastAsia="宋体" w:cs="宋体"/>
          <w:b/>
          <w:bCs/>
          <w:color w:val="auto"/>
          <w:sz w:val="21"/>
          <w:szCs w:val="21"/>
          <w:highlight w:val="none"/>
          <w:lang w:val="en-US" w:eastAsia="zh-CN"/>
        </w:rPr>
        <w:t>本项目一个</w:t>
      </w:r>
      <w:r>
        <w:rPr>
          <w:rFonts w:hint="eastAsia" w:ascii="宋体" w:hAnsi="宋体" w:eastAsia="宋体" w:cs="宋体"/>
          <w:b/>
          <w:bCs/>
          <w:color w:val="auto"/>
          <w:highlight w:val="none"/>
        </w:rPr>
        <w:t>投标人</w:t>
      </w:r>
      <w:r>
        <w:rPr>
          <w:rFonts w:hint="eastAsia" w:ascii="宋体" w:hAnsi="宋体" w:eastAsia="宋体" w:cs="宋体"/>
          <w:b/>
          <w:bCs/>
          <w:color w:val="auto"/>
          <w:sz w:val="21"/>
          <w:szCs w:val="21"/>
          <w:highlight w:val="none"/>
        </w:rPr>
        <w:t>可</w:t>
      </w:r>
      <w:r>
        <w:rPr>
          <w:rFonts w:hint="eastAsia" w:ascii="宋体" w:hAnsi="宋体" w:eastAsia="宋体" w:cs="宋体"/>
          <w:b/>
          <w:bCs/>
          <w:color w:val="auto"/>
          <w:sz w:val="21"/>
          <w:szCs w:val="21"/>
          <w:highlight w:val="none"/>
          <w:lang w:eastAsia="zh-CN"/>
        </w:rPr>
        <w:t>同时</w:t>
      </w:r>
      <w:r>
        <w:rPr>
          <w:rFonts w:hint="eastAsia" w:ascii="宋体" w:hAnsi="宋体" w:eastAsia="宋体" w:cs="宋体"/>
          <w:b/>
          <w:bCs/>
          <w:color w:val="auto"/>
          <w:sz w:val="21"/>
          <w:szCs w:val="21"/>
          <w:highlight w:val="none"/>
          <w:lang w:val="en-US" w:eastAsia="zh-CN"/>
        </w:rPr>
        <w:t>投多个分标</w:t>
      </w:r>
      <w:r>
        <w:rPr>
          <w:rFonts w:hint="eastAsia" w:ascii="宋体" w:hAnsi="宋体" w:eastAsia="宋体" w:cs="宋体"/>
          <w:b/>
          <w:bCs/>
          <w:color w:val="auto"/>
          <w:sz w:val="21"/>
          <w:szCs w:val="21"/>
          <w:highlight w:val="none"/>
        </w:rPr>
        <w:t>，但</w:t>
      </w:r>
      <w:r>
        <w:rPr>
          <w:rFonts w:hint="eastAsia" w:ascii="宋体" w:hAnsi="宋体" w:eastAsia="宋体" w:cs="宋体"/>
          <w:b/>
          <w:bCs/>
          <w:color w:val="auto"/>
          <w:sz w:val="21"/>
          <w:szCs w:val="21"/>
          <w:highlight w:val="none"/>
          <w:lang w:eastAsia="zh-CN"/>
        </w:rPr>
        <w:t>最多</w:t>
      </w:r>
      <w:r>
        <w:rPr>
          <w:rFonts w:hint="eastAsia" w:ascii="宋体" w:hAnsi="宋体" w:eastAsia="宋体" w:cs="宋体"/>
          <w:b/>
          <w:bCs/>
          <w:color w:val="auto"/>
          <w:sz w:val="21"/>
          <w:szCs w:val="21"/>
          <w:highlight w:val="none"/>
        </w:rPr>
        <w:t>只能</w:t>
      </w:r>
      <w:r>
        <w:rPr>
          <w:rFonts w:hint="eastAsia" w:ascii="宋体" w:hAnsi="宋体" w:eastAsia="宋体" w:cs="宋体"/>
          <w:b/>
          <w:bCs/>
          <w:color w:val="auto"/>
          <w:sz w:val="21"/>
          <w:szCs w:val="21"/>
          <w:highlight w:val="none"/>
          <w:lang w:eastAsia="zh-CN"/>
        </w:rPr>
        <w:t>中</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个分标。</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个分标的评标顺序为1→2→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10→11→12→13→14→</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，按该顺序进行商务和技术评分并推荐</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候选人，已经成为某分标第一</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候选人的</w:t>
      </w:r>
      <w:r>
        <w:rPr>
          <w:rFonts w:hint="eastAsia" w:ascii="宋体" w:hAnsi="宋体" w:eastAsia="宋体" w:cs="宋体"/>
          <w:b/>
          <w:bCs/>
          <w:color w:val="auto"/>
          <w:highlight w:val="none"/>
        </w:rPr>
        <w:t>投标人</w:t>
      </w:r>
      <w:r>
        <w:rPr>
          <w:rFonts w:hint="eastAsia" w:ascii="宋体" w:hAnsi="宋体" w:eastAsia="宋体" w:cs="宋体"/>
          <w:b/>
          <w:bCs/>
          <w:color w:val="auto"/>
          <w:sz w:val="21"/>
          <w:szCs w:val="21"/>
          <w:highlight w:val="none"/>
        </w:rPr>
        <w:t>，不再被推荐为其余分标的</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候选人</w:t>
      </w:r>
      <w:r>
        <w:rPr>
          <w:rFonts w:hint="eastAsia" w:ascii="宋体" w:hAnsi="宋体" w:eastAsia="宋体" w:cs="宋体"/>
          <w:color w:val="auto"/>
          <w:sz w:val="21"/>
          <w:szCs w:val="21"/>
          <w:highlight w:val="none"/>
        </w:rPr>
        <w:t>。</w:t>
      </w:r>
    </w:p>
    <w:p>
      <w:pPr>
        <w:tabs>
          <w:tab w:val="left" w:pos="180"/>
          <w:tab w:val="left" w:pos="1620"/>
        </w:tabs>
        <w:spacing w:line="420" w:lineRule="exact"/>
        <w:ind w:firstLine="420" w:firstLineChars="200"/>
        <w:jc w:val="left"/>
        <w:rPr>
          <w:rFonts w:hint="default" w:ascii="宋体" w:hAnsi="宋体" w:eastAsia="宋体" w:cs="宋体"/>
          <w:color w:val="auto"/>
          <w:highlight w:val="none"/>
          <w:u w:val="single"/>
          <w:lang w:val="en-US" w:eastAsia="zh-CN"/>
        </w:rPr>
      </w:pPr>
    </w:p>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1235"/>
        <w:gridCol w:w="66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single" w:color="auto" w:sz="4" w:space="0"/>
              <w:left w:val="single" w:color="auto" w:sz="4" w:space="0"/>
              <w:right w:val="single" w:color="auto" w:sz="4" w:space="0"/>
            </w:tcBorders>
            <w:noWrap w:val="0"/>
            <w:vAlign w:val="center"/>
          </w:tcPr>
          <w:p>
            <w:pPr>
              <w:spacing w:line="320" w:lineRule="exact"/>
              <w:jc w:val="left"/>
              <w:rPr>
                <w:rFonts w:hint="default" w:ascii="仿宋_GB2312" w:hAnsi="宋体" w:eastAsia="仿宋_GB2312" w:cs="Arial"/>
                <w:b/>
                <w:color w:val="auto"/>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分标号</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cs="宋体"/>
                <w:color w:val="auto"/>
                <w:szCs w:val="21"/>
                <w:highlight w:val="none"/>
              </w:rPr>
              <w:t>名称</w:t>
            </w: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p>
          <w:p>
            <w:pPr>
              <w:jc w:val="center"/>
              <w:rPr>
                <w:rFonts w:ascii="宋体" w:hAnsi="宋体" w:cs="宋体"/>
                <w:color w:val="auto"/>
                <w:szCs w:val="21"/>
                <w:highlight w:val="none"/>
              </w:rPr>
            </w:pPr>
            <w:r>
              <w:rPr>
                <w:rFonts w:hint="eastAsia" w:ascii="宋体" w:hAnsi="宋体" w:cs="宋体"/>
                <w:color w:val="auto"/>
                <w:szCs w:val="21"/>
                <w:highlight w:val="none"/>
              </w:rPr>
              <w:t>数量及单位</w:t>
            </w:r>
          </w:p>
          <w:p>
            <w:pPr>
              <w:jc w:val="center"/>
              <w:rPr>
                <w:rFonts w:ascii="宋体" w:hAnsi="宋体" w:cs="宋体"/>
                <w:color w:val="auto"/>
                <w:szCs w:val="21"/>
                <w:highlight w:val="none"/>
              </w:rPr>
            </w:pP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 w:val="16"/>
                <w:szCs w:val="16"/>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ascii="宋体" w:hAnsi="Courier New" w:eastAsia="宋体" w:cs="Times New Roman"/>
                <w:b w:val="0"/>
                <w:bCs/>
                <w:caps/>
                <w:color w:val="auto"/>
                <w:kern w:val="2"/>
                <w:sz w:val="20"/>
                <w:szCs w:val="20"/>
                <w:highlight w:val="none"/>
                <w:lang w:val="en-US" w:eastAsia="zh-CN" w:bidi="ar-SA"/>
              </w:rPr>
            </w:pPr>
            <w:r>
              <w:rPr>
                <w:rFonts w:hint="eastAsia" w:ascii="宋体" w:hAnsi="宋体" w:eastAsia="宋体" w:cs="宋体"/>
                <w:color w:val="auto"/>
                <w:szCs w:val="21"/>
                <w:highlight w:val="none"/>
                <w:lang w:val="en-US" w:eastAsia="zh-CN"/>
              </w:rPr>
              <w:t>全区自主就业退役士兵职业技能培训（消防、公安）</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宋体" w:hAnsi="宋体" w:eastAsia="宋体" w:cs="宋体"/>
                <w:color w:val="auto"/>
                <w:szCs w:val="21"/>
                <w:highlight w:val="none"/>
                <w:lang w:val="en-US" w:eastAsia="zh-CN"/>
              </w:rPr>
            </w:pPr>
            <w:bookmarkStart w:id="66" w:name="OLE_LINK2"/>
            <w:r>
              <w:rPr>
                <w:rFonts w:hint="eastAsia" w:ascii="宋体" w:hAnsi="宋体" w:cs="宋体"/>
                <w:color w:val="auto"/>
                <w:szCs w:val="21"/>
                <w:highlight w:val="none"/>
                <w:lang w:val="en-US" w:eastAsia="zh-CN"/>
              </w:rPr>
              <w:t>1项</w:t>
            </w:r>
            <w:bookmarkEnd w:id="66"/>
          </w:p>
        </w:tc>
        <w:tc>
          <w:tcPr>
            <w:tcW w:w="7795"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为进一步规范退役士兵职业技能培训管理工作，提高思想政治和职业技能水平，提升就业创业竞争力，</w:t>
            </w:r>
            <w:r>
              <w:rPr>
                <w:rFonts w:hint="eastAsia" w:ascii="宋体" w:hAnsi="宋体" w:eastAsia="宋体" w:cs="宋体"/>
                <w:color w:val="auto"/>
                <w:sz w:val="21"/>
                <w:szCs w:val="21"/>
                <w:highlight w:val="none"/>
                <w:lang w:val="en-US" w:eastAsia="zh-CN"/>
              </w:rPr>
              <w:t>根据退役军人事务部等12部委《关于促进新时代退役军人就业创业工作的意见》（退役军人部发〔2018〕26号）、《退役军人安置条例》、《广西壮族自治区退役军人厅等5部门关于印发&lt;广西壮族自治区退役士兵教育培训暂行办法&gt;的通知》（桂退役军人规〔2022〕1号）等文件相关要求</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仿宋"/>
                <w:color w:val="auto"/>
                <w:szCs w:val="21"/>
                <w:highlight w:val="none"/>
              </w:rPr>
              <w:t>切实提升</w:t>
            </w:r>
            <w:r>
              <w:rPr>
                <w:rFonts w:hint="eastAsia" w:ascii="宋体" w:hAnsi="宋体" w:eastAsia="宋体" w:cs="仿宋"/>
                <w:color w:val="auto"/>
                <w:szCs w:val="21"/>
                <w:highlight w:val="none"/>
                <w:lang w:eastAsia="zh-CN"/>
              </w:rPr>
              <w:t>退役士兵</w:t>
            </w:r>
            <w:r>
              <w:rPr>
                <w:rFonts w:hint="eastAsia" w:ascii="宋体" w:hAnsi="宋体" w:eastAsia="宋体" w:cs="仿宋"/>
                <w:color w:val="auto"/>
                <w:szCs w:val="21"/>
                <w:highlight w:val="none"/>
              </w:rPr>
              <w:t>适应就业创业和成长需要以及经济社会发展需求的职业技能和职业素质，帮助</w:t>
            </w:r>
            <w:r>
              <w:rPr>
                <w:rFonts w:hint="eastAsia" w:ascii="宋体" w:hAnsi="宋体" w:eastAsia="宋体" w:cs="仿宋"/>
                <w:color w:val="auto"/>
                <w:szCs w:val="21"/>
                <w:highlight w:val="none"/>
                <w:lang w:eastAsia="zh-CN"/>
              </w:rPr>
              <w:t>退役士兵</w:t>
            </w:r>
            <w:r>
              <w:rPr>
                <w:rFonts w:hint="eastAsia" w:ascii="宋体" w:hAnsi="宋体" w:eastAsia="宋体" w:cs="仿宋"/>
                <w:color w:val="auto"/>
                <w:szCs w:val="21"/>
                <w:highlight w:val="none"/>
              </w:rPr>
              <w:t>稳定就业、优质就业、自主创业</w:t>
            </w:r>
            <w:r>
              <w:rPr>
                <w:rFonts w:hint="eastAsia" w:ascii="宋体" w:hAnsi="宋体" w:eastAsia="宋体" w:cs="宋体"/>
                <w:color w:val="auto"/>
                <w:sz w:val="21"/>
                <w:szCs w:val="21"/>
                <w:highlight w:val="none"/>
                <w:lang w:val="en-US" w:eastAsia="zh-CN"/>
              </w:rPr>
              <w:t>，现将全区范围内退役士兵职业培训按公开征集的程序进行公开评选入围本次职业培训的机构，拟对</w:t>
            </w:r>
            <w:r>
              <w:rPr>
                <w:rFonts w:hint="eastAsia" w:ascii="宋体" w:hAnsi="宋体" w:eastAsia="宋体" w:cs="仿宋"/>
                <w:color w:val="auto"/>
                <w:sz w:val="21"/>
                <w:szCs w:val="21"/>
                <w:highlight w:val="none"/>
                <w:lang w:val="en-US" w:eastAsia="zh-CN"/>
              </w:rPr>
              <w:t>安置在广西，未享受过免费职业技能培训，未达到法定退休年龄的自主就业退役士兵，开展职</w:t>
            </w:r>
            <w:r>
              <w:rPr>
                <w:rFonts w:hint="eastAsia" w:ascii="宋体" w:hAnsi="宋体" w:eastAsia="宋体" w:cs="宋体"/>
                <w:color w:val="auto"/>
                <w:sz w:val="21"/>
                <w:szCs w:val="21"/>
                <w:highlight w:val="none"/>
                <w:lang w:val="en-US" w:eastAsia="zh-CN"/>
              </w:rPr>
              <w:t>业技能培训。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培训工种列表：</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63"/>
              <w:gridCol w:w="2760"/>
              <w:gridCol w:w="945"/>
              <w:gridCol w:w="616"/>
              <w:gridCol w:w="1134"/>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84"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序号</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项目名称</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培训天数</w:t>
                  </w:r>
                </w:p>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（天）</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培训学时</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培训单价</w:t>
                  </w:r>
                </w:p>
                <w:p>
                  <w:pPr>
                    <w:widowControl/>
                    <w:spacing w:beforeLines="0" w:afterLines="0"/>
                    <w:jc w:val="center"/>
                    <w:textAlignment w:val="center"/>
                    <w:rPr>
                      <w:rFonts w:hint="default" w:ascii="宋体" w:hAnsi="宋体" w:eastAsia="宋体" w:cs="宋体"/>
                      <w:b/>
                      <w:color w:val="auto"/>
                      <w:spacing w:val="-20"/>
                      <w:sz w:val="21"/>
                      <w:szCs w:val="21"/>
                      <w:highlight w:val="none"/>
                    </w:rPr>
                  </w:pPr>
                  <w:r>
                    <w:rPr>
                      <w:rFonts w:hint="default" w:ascii="宋体" w:hAnsi="宋体" w:eastAsia="宋体" w:cs="宋体"/>
                      <w:b/>
                      <w:color w:val="auto"/>
                      <w:spacing w:val="-20"/>
                      <w:sz w:val="21"/>
                      <w:szCs w:val="21"/>
                      <w:highlight w:val="none"/>
                    </w:rPr>
                    <w:t>（元/人）</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b/>
                      <w:color w:val="auto"/>
                      <w:sz w:val="21"/>
                      <w:szCs w:val="21"/>
                      <w:highlight w:val="none"/>
                      <w:lang w:bidi="ar"/>
                    </w:rPr>
                  </w:pPr>
                  <w:r>
                    <w:rPr>
                      <w:rFonts w:hint="default" w:ascii="宋体" w:hAnsi="宋体" w:eastAsia="宋体" w:cs="宋体"/>
                      <w:b/>
                      <w:color w:val="auto"/>
                      <w:sz w:val="21"/>
                      <w:szCs w:val="21"/>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无人机摄影测量</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5"/>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无人机驾驶执照（CAAC）</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5"/>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小型无人机操控驾驶员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制冷与空调设备运行操作作业员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海员培训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考证费、体检费、伙食费学员自理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7</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教育教学能力专项培训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考证费学员自理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6"/>
                      <w:tab w:val="center" w:pos="1386"/>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消防设施操作员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9</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5"/>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国防教育辅导员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5"/>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电梯安装维修员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11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tabs>
                      <w:tab w:val="left" w:pos="315"/>
                    </w:tabs>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电商直播</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信息通信网络机务员</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电子商务师</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短视频拍摄与制作</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15</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汽车修理工考证培训（初级工）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16</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汽车修理工考证培训（中级工）</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17</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数控车工（中级/四级）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18</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数控铣工（中级/四级）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19</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家用电器维修工（中级/四级）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20</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物业管理师（中级）</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13</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4737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中式（西式）烹调</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80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4407</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3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bottom"/>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p>
              </w:tc>
              <w:tc>
                <w:tcPr>
                  <w:tcW w:w="1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人工智能训练师</w:t>
                  </w:r>
                </w:p>
              </w:tc>
              <w:tc>
                <w:tcPr>
                  <w:tcW w:w="6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120</w:t>
                  </w: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5950</w:t>
                  </w:r>
                </w:p>
              </w:tc>
              <w:tc>
                <w:tcPr>
                  <w:tcW w:w="10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5"/>
                    <w:spacing w:beforeLines="0" w:afterLines="0" w:line="320" w:lineRule="exac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数据标注和算法测试两个方向</w:t>
                  </w:r>
                </w:p>
              </w:tc>
            </w:tr>
          </w:tbl>
          <w:p>
            <w:pPr>
              <w:numPr>
                <w:ilvl w:val="0"/>
                <w:numId w:val="0"/>
              </w:numPr>
              <w:spacing w:line="580" w:lineRule="exact"/>
              <w:ind w:firstLine="446" w:firstLineChars="200"/>
              <w:rPr>
                <w:rFonts w:hint="eastAsia" w:ascii="宋体" w:hAnsi="宋体" w:eastAsia="宋体" w:cs="宋体"/>
                <w:b/>
                <w:bCs/>
                <w:color w:val="auto"/>
                <w:spacing w:val="6"/>
                <w:kern w:val="48"/>
                <w:sz w:val="21"/>
                <w:szCs w:val="21"/>
                <w:highlight w:val="none"/>
                <w:lang w:val="en-US" w:eastAsia="zh-CN"/>
              </w:rPr>
            </w:pPr>
            <w:r>
              <w:rPr>
                <w:rFonts w:hint="eastAsia" w:ascii="宋体" w:hAnsi="宋体" w:eastAsia="宋体" w:cs="宋体"/>
                <w:b/>
                <w:bCs/>
                <w:color w:val="auto"/>
                <w:spacing w:val="6"/>
                <w:kern w:val="48"/>
                <w:sz w:val="21"/>
                <w:szCs w:val="21"/>
                <w:highlight w:val="none"/>
                <w:lang w:val="en-US" w:eastAsia="zh-CN"/>
              </w:rPr>
              <w:t>二、</w:t>
            </w:r>
            <w:r>
              <w:rPr>
                <w:rFonts w:hint="eastAsia" w:ascii="宋体" w:hAnsi="宋体" w:eastAsia="宋体" w:cs="宋体"/>
                <w:b/>
                <w:bCs/>
                <w:color w:val="auto"/>
                <w:spacing w:val="6"/>
                <w:kern w:val="48"/>
                <w:sz w:val="21"/>
                <w:szCs w:val="21"/>
                <w:highlight w:val="none"/>
                <w:lang w:val="zh-CN" w:eastAsia="zh-CN"/>
              </w:rPr>
              <w:t>培训地点：</w:t>
            </w:r>
            <w:r>
              <w:rPr>
                <w:rFonts w:hint="eastAsia" w:ascii="宋体" w:hAnsi="宋体" w:eastAsia="宋体" w:cs="宋体"/>
                <w:b w:val="0"/>
                <w:bCs w:val="0"/>
                <w:color w:val="auto"/>
                <w:spacing w:val="6"/>
                <w:kern w:val="48"/>
                <w:sz w:val="21"/>
                <w:szCs w:val="21"/>
                <w:highlight w:val="none"/>
                <w:lang w:val="en-US" w:eastAsia="zh-CN"/>
              </w:rPr>
              <w:t>分标</w:t>
            </w:r>
            <w:r>
              <w:rPr>
                <w:rFonts w:hint="eastAsia" w:ascii="宋体" w:hAnsi="宋体" w:cs="宋体"/>
                <w:b w:val="0"/>
                <w:bCs w:val="0"/>
                <w:color w:val="auto"/>
                <w:spacing w:val="6"/>
                <w:kern w:val="48"/>
                <w:sz w:val="21"/>
                <w:szCs w:val="21"/>
                <w:highlight w:val="none"/>
                <w:lang w:val="en-US" w:eastAsia="zh-CN"/>
              </w:rPr>
              <w:t>1培训地点为南宁市，分标2-15培训地点为各分标</w:t>
            </w:r>
            <w:r>
              <w:rPr>
                <w:rFonts w:hint="eastAsia" w:ascii="宋体" w:hAnsi="宋体" w:eastAsia="宋体" w:cs="宋体"/>
                <w:b w:val="0"/>
                <w:bCs w:val="0"/>
                <w:color w:val="auto"/>
                <w:spacing w:val="6"/>
                <w:kern w:val="48"/>
                <w:sz w:val="21"/>
                <w:szCs w:val="21"/>
                <w:highlight w:val="none"/>
                <w:lang w:val="en-US" w:eastAsia="zh-CN"/>
              </w:rPr>
              <w:t>所在地市</w:t>
            </w:r>
            <w:r>
              <w:rPr>
                <w:rFonts w:hint="eastAsia" w:ascii="宋体" w:hAnsi="宋体" w:eastAsia="宋体" w:cs="宋体"/>
                <w:b w:val="0"/>
                <w:bCs w:val="0"/>
                <w:color w:val="auto"/>
                <w:sz w:val="21"/>
                <w:szCs w:val="21"/>
                <w:highlight w:val="none"/>
                <w:lang w:val="zh-CN" w:eastAsia="zh-CN"/>
              </w:rPr>
              <w:t>。</w:t>
            </w:r>
          </w:p>
          <w:p>
            <w:pPr>
              <w:numPr>
                <w:ilvl w:val="0"/>
                <w:numId w:val="0"/>
              </w:numPr>
              <w:spacing w:line="580" w:lineRule="exact"/>
              <w:ind w:firstLine="446" w:firstLineChars="200"/>
              <w:rPr>
                <w:rFonts w:hint="eastAsia" w:ascii="宋体" w:hAnsi="宋体" w:eastAsia="宋体" w:cs="宋体"/>
                <w:b/>
                <w:bCs/>
                <w:color w:val="auto"/>
                <w:spacing w:val="6"/>
                <w:kern w:val="48"/>
                <w:sz w:val="21"/>
                <w:szCs w:val="21"/>
                <w:highlight w:val="none"/>
                <w:lang w:val="zh-CN" w:eastAsia="zh-CN"/>
              </w:rPr>
            </w:pPr>
            <w:r>
              <w:rPr>
                <w:rFonts w:hint="eastAsia" w:ascii="宋体" w:hAnsi="宋体" w:eastAsia="宋体" w:cs="宋体"/>
                <w:b/>
                <w:bCs/>
                <w:color w:val="auto"/>
                <w:spacing w:val="6"/>
                <w:kern w:val="48"/>
                <w:sz w:val="21"/>
                <w:szCs w:val="21"/>
                <w:highlight w:val="none"/>
                <w:lang w:val="en-US" w:eastAsia="zh-CN"/>
              </w:rPr>
              <w:t>三、</w:t>
            </w:r>
            <w:r>
              <w:rPr>
                <w:rFonts w:hint="eastAsia" w:ascii="宋体" w:hAnsi="宋体" w:eastAsia="宋体" w:cs="宋体"/>
                <w:b/>
                <w:bCs/>
                <w:color w:val="auto"/>
                <w:spacing w:val="6"/>
                <w:kern w:val="48"/>
                <w:sz w:val="21"/>
                <w:szCs w:val="21"/>
                <w:highlight w:val="none"/>
                <w:lang w:val="zh-CN" w:eastAsia="zh-CN"/>
              </w:rPr>
              <w:t>供应商工作要求：</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供应商所在地需具有满足开展培训所需的</w:t>
            </w:r>
            <w:r>
              <w:rPr>
                <w:rFonts w:hint="eastAsia" w:ascii="宋体" w:hAnsi="宋体" w:eastAsia="宋体" w:cs="宋体"/>
                <w:color w:val="auto"/>
                <w:sz w:val="21"/>
                <w:szCs w:val="21"/>
                <w:highlight w:val="none"/>
                <w:lang w:val="en-US" w:eastAsia="zh-CN"/>
              </w:rPr>
              <w:t>教学场地、设施、设备和教材、图书、资料等。教学场地和设施设备符合有关国家技术和安全规定。有突发情况应急安全保障预案，每个教室、实习场地有消防安全监控设备。教学过程中场所必须固定，更改教学地点必须取得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2.结合退役士兵就业创业需求，科学设置培训项目、制定培训目标和教学计划，优化课程设置，改进教学办法，保证教学质量。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3.规范招生行为，招生简章和宣传内容应当具体、明确、真实，并向采购人报备。所开设课程和培训质量应符合招标简章或宣传承诺。</w:t>
            </w:r>
          </w:p>
          <w:p>
            <w:pPr>
              <w:spacing w:line="5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4.建立健立教学管理制度、学员管理制度、安全管理制度和突发事件应急预案，加强管理，防范和化解各类安全风险。</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5.负责组织实施教学计划中的各项培训内容，如有改动，须经采购人同意。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配备专业的培训管理团队，加强学员管理。充分调动和整合各方优质资源，提供良好教学（场地、设施）和后勤（食宿、体育活动场地等）保障条件。严格考勤管理，实行出勤签到制度；严格培训考核评价，对按要求完成培训学习并经考核合格的参训学员颁发培训结业证书。</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7.负责根据培训计划要求选择教师，经采购人确认后按时选派授课，如需变更应征得采购人同意。</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8.负责印制学员培训资料、培训手册。</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9.负责派专人协助采购人的食宿安排及日常管理。</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10.负责培训过程的课务监督和授课质量检查。</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11.负责学员在校期间的安全管理，每天有随堂老师跟班。</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教育培训的结业考试由入围培训机构根据有关现行规定统一组织实施。定点教育培训机构应按国家有关规定对退役士兵进行考试考核，并组织其参加职业技能鉴定考试。经考试合格的退役士兵，由教育培训机构颁发相关行业主管部门核发职业培训证书或职业资格证书。</w:t>
            </w:r>
          </w:p>
          <w:p>
            <w:pPr>
              <w:spacing w:line="5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13.根据培训专业推荐参训学员就业，提倡开展“入学即入职”式培训，并开展不少于一年的就业稳定性跟踪调查。</w:t>
            </w:r>
          </w:p>
          <w:p>
            <w:pPr>
              <w:spacing w:line="5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14.负责收集归档材料:学员签到、考勤表签到、培训申请表、学员身份证复印件、退伍证复印件、学员手册、课程安排表、培训合格证、培训开支单据表、培训过程图片、财务报帐凭证、票据等。</w:t>
            </w:r>
          </w:p>
          <w:p>
            <w:pPr>
              <w:spacing w:line="360" w:lineRule="exact"/>
              <w:ind w:firstLine="446" w:firstLineChars="200"/>
              <w:jc w:val="left"/>
              <w:rPr>
                <w:rFonts w:hint="eastAsia" w:ascii="宋体" w:hAnsi="宋体" w:eastAsia="宋体" w:cs="宋体"/>
                <w:b/>
                <w:bCs/>
                <w:color w:val="auto"/>
                <w:spacing w:val="6"/>
                <w:kern w:val="48"/>
                <w:sz w:val="21"/>
                <w:szCs w:val="21"/>
                <w:highlight w:val="none"/>
              </w:rPr>
            </w:pPr>
            <w:r>
              <w:rPr>
                <w:rFonts w:hint="eastAsia" w:ascii="宋体" w:hAnsi="宋体" w:eastAsia="宋体" w:cs="宋体"/>
                <w:b/>
                <w:bCs/>
                <w:color w:val="auto"/>
                <w:spacing w:val="6"/>
                <w:kern w:val="48"/>
                <w:sz w:val="21"/>
                <w:szCs w:val="21"/>
                <w:highlight w:val="none"/>
                <w:lang w:val="en-US" w:eastAsia="zh-CN"/>
              </w:rPr>
              <w:t>四、</w:t>
            </w:r>
            <w:r>
              <w:rPr>
                <w:rFonts w:hint="eastAsia" w:ascii="宋体" w:hAnsi="宋体" w:eastAsia="宋体" w:cs="宋体"/>
                <w:b/>
                <w:bCs/>
                <w:color w:val="auto"/>
                <w:spacing w:val="6"/>
                <w:kern w:val="48"/>
                <w:sz w:val="21"/>
                <w:szCs w:val="21"/>
                <w:highlight w:val="none"/>
              </w:rPr>
              <w:t>服务质量要求</w:t>
            </w:r>
          </w:p>
          <w:p>
            <w:pPr>
              <w:spacing w:line="580" w:lineRule="exact"/>
              <w:ind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为实现采购人对服务质量进行有效掌控，中标人在提供服务的过程中，采购人根据双方约定的服务质量协议，对其服务质量进行考核评估，对服务质量不达标的内容提出整改意见和整改期限，中标人须按照采购人提出的整改意见和期限进行整改。若出现整改仍不达标或超时限，采购人保留采取进一步处罚措施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全区自主就业退役士兵职业技能培训（南宁）</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全区自主就业退役士兵职业技能培训（柳州）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全区自主就业退役士兵职业技能培训（桂林）</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全区自主就业退役士兵职业技能培训（梧州）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全区自主就业退役士兵职业技能培训（北海）</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全区自主就业退役士兵职业技能培训（防城港）</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全区自主就业退役士兵职业技能培训（钦州）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全区自主就业退役士兵职业技能培训（贵港）</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全区自主就业退役士兵职业技能培训（玉林）</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全区自主就业退役士兵职业技能培训（百色）</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全区自主就业退役士兵职业技能培训（贺州）</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全区自主就业退役士兵职业技能培训（河池）</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全区自主就业退役士兵职业技能培训（来宾）</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cs="宋体"/>
                <w:color w:val="auto"/>
                <w:szCs w:val="21"/>
                <w:highlight w:val="none"/>
                <w:lang w:val="en-US" w:eastAsia="zh-CN"/>
              </w:rPr>
            </w:pPr>
            <w:r>
              <w:rPr>
                <w:rFonts w:hint="eastAsia"/>
                <w:color w:val="auto"/>
                <w:highlight w:val="none"/>
              </w:rPr>
              <w:t>1项</w:t>
            </w:r>
          </w:p>
        </w:tc>
        <w:tc>
          <w:tcPr>
            <w:tcW w:w="7795" w:type="dxa"/>
            <w:vMerge w:val="continue"/>
            <w:tcBorders>
              <w:left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after="120"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全区自主就业退役士兵职业技能培训（崇左）</w:t>
            </w:r>
          </w:p>
        </w:tc>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eastAsia="宋体"/>
                <w:color w:val="auto"/>
                <w:highlight w:val="none"/>
                <w:lang w:val="en-US" w:eastAsia="zh-CN"/>
              </w:rPr>
            </w:pPr>
            <w:r>
              <w:rPr>
                <w:rFonts w:hint="eastAsia"/>
                <w:color w:val="auto"/>
                <w:highlight w:val="none"/>
                <w:lang w:val="en-US" w:eastAsia="zh-CN"/>
              </w:rPr>
              <w:t>1项</w:t>
            </w:r>
          </w:p>
        </w:tc>
        <w:tc>
          <w:tcPr>
            <w:tcW w:w="779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合同签订时间</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自中标通知书发出之日起25日内。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服务</w:t>
            </w:r>
            <w:r>
              <w:rPr>
                <w:rFonts w:hint="eastAsia" w:asciiTheme="minorEastAsia" w:hAnsiTheme="minorEastAsia" w:eastAsiaTheme="minorEastAsia" w:cstheme="minorEastAsia"/>
                <w:color w:val="auto"/>
                <w:szCs w:val="21"/>
                <w:highlight w:val="none"/>
              </w:rPr>
              <w:t>期限及地点</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1.服务期限：自合同签订之日起至2025年12月30日</w:t>
            </w:r>
          </w:p>
          <w:p>
            <w:pPr>
              <w:pStyle w:val="20"/>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2.培训地点：各分标中标人提供的培训地点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付款方式</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培训经费按实际参训学员人数计算。开班前中标人应向采购人申请开班，采购人同意后方可开展培训。培训结束后，待采购人验收合格后，将培训费用支付给承训机构。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1.本项目为采用固定价格采购的项目，价格不列为评审因素，每个培训工种的单价按采购人公布的标准执行。</w:t>
            </w:r>
            <w:r>
              <w:rPr>
                <w:rFonts w:hint="eastAsia" w:asciiTheme="minorEastAsia" w:hAnsiTheme="minorEastAsia" w:eastAsiaTheme="minorEastAsia" w:cstheme="minorEastAsia"/>
                <w:b/>
                <w:bCs/>
                <w:color w:val="auto"/>
                <w:kern w:val="2"/>
                <w:sz w:val="21"/>
                <w:szCs w:val="21"/>
                <w:highlight w:val="none"/>
                <w:lang w:val="en-US" w:eastAsia="zh-CN" w:bidi="ar-SA"/>
              </w:rPr>
              <w:t>供应商需以分标预算作为开标一览表中的投标总报价。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采购人公布的单价是履行合同的最终价格，包含学杂费、职业技能鉴定费以及培训场地费、培训资料费、师资费、考证费、推荐就业费、必要的保险费和各项税金、售后服务所产生的费用，采购人不再另行支付有关培训时产生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1.质量保证期：自服务期满并验收合格之日止。</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2.处理问题响应时间：供应商确保培训期间提供7×24小时的电话支持服务，通过电话、短信、即时通讯工具、电子邮件等及时解决培训中各种问题，一旦出现电话解决不了的问题，2小时内到达指定地点解决。</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3.其他：提供学员培训调查问卷表,帮助采购人开展后续相关管理工作。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履约验收要求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培训机构在培训结束后，组织培训人员进行相关专业考核并颁发考核证书，并都获得行业主管部门核发职业培训证书或职业资格证书，推荐就业率达100%，服务对象满意度达90%（含）以上，培训机构向采购人出具相关验收资料，采购人评定验收结果，对评定内容填写培训验收意见书，验收合格的，签署合格意见，并告知培训机构，双方共同签署验收报告，验收不合格的，告知培训机构不通过理由，并给予整改时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7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中标人签订合同后，必须在培训项目实施10个工作日前根据培训对象实际情况制定完善具体的实施方案，对培训项目训前、训中、训后各阶段在时间节点、进度控制、组织管理、质量要求等方面提出明确具体的安排，经征集人同意后组织实施。</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2.未经征集人同意，中标人不得向第三方转让合同项下全部或部分服务内容，如擅自转让合同项下全部或部分服务内容，则视为中标人违约。按照合同相关违约条款约定处理。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3.合同履行期间，如入围供应商存在违法行为，在政府采购监督管理部门调查期间、被行政处罚期间，征集人可视情况中止合同，并延期支付培训经费。</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4.中标人需服从征集人的指导和监督，积极主动开展培训工作，不得弄虚作假。</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5.中标供应商对开展项目过程中所取得的信息数据和内容保密，不得泄露工作中所接触获得的信息，不得利用项目数据为自己或第三方谋取利益。</w:t>
            </w:r>
          </w:p>
        </w:tc>
      </w:tr>
    </w:tbl>
    <w:p>
      <w:pPr>
        <w:spacing w:line="320" w:lineRule="exact"/>
        <w:rPr>
          <w:rFonts w:hint="eastAsia" w:ascii="宋体" w:hAnsi="宋体" w:eastAsia="宋体" w:cs="Times New Roman"/>
          <w:color w:val="auto"/>
          <w:highlight w:val="none"/>
        </w:rPr>
      </w:pPr>
    </w:p>
    <w:p>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pPr>
        <w:spacing w:before="7"/>
        <w:rPr>
          <w:rFonts w:hint="eastAsia" w:ascii="宋体" w:hAnsi="宋体" w:eastAsia="宋体" w:cs="宋体"/>
          <w:color w:val="auto"/>
          <w:sz w:val="17"/>
          <w:szCs w:val="17"/>
          <w:highlight w:val="none"/>
        </w:rPr>
      </w:pPr>
    </w:p>
    <w:p>
      <w:pPr>
        <w:pStyle w:val="13"/>
        <w:jc w:val="left"/>
        <w:rPr>
          <w:rFonts w:hint="eastAsia" w:ascii="宋体" w:hAnsi="宋体" w:eastAsia="宋体" w:cs="宋体"/>
          <w:color w:val="auto"/>
          <w:sz w:val="32"/>
          <w:szCs w:val="32"/>
          <w:highlight w:val="none"/>
        </w:rPr>
      </w:pPr>
    </w:p>
    <w:p>
      <w:pPr>
        <w:widowControl/>
        <w:spacing w:before="156" w:beforeLines="50" w:after="156" w:afterLines="50" w:line="280" w:lineRule="exact"/>
        <w:jc w:val="center"/>
        <w:rPr>
          <w:rFonts w:ascii="宋体" w:hAnsi="宋体" w:cs="宋体"/>
          <w:b/>
          <w:bCs/>
          <w:color w:val="auto"/>
          <w:kern w:val="0"/>
          <w:sz w:val="30"/>
          <w:szCs w:val="30"/>
          <w:highlight w:val="none"/>
        </w:rPr>
      </w:pPr>
      <w:bookmarkStart w:id="67" w:name="_Toc28361_WPSOffice_Level2"/>
      <w:r>
        <w:rPr>
          <w:rFonts w:hint="eastAsia" w:ascii="宋体" w:hAnsi="宋体" w:cs="宋体"/>
          <w:b/>
          <w:bCs/>
          <w:color w:val="auto"/>
          <w:kern w:val="0"/>
          <w:sz w:val="30"/>
          <w:szCs w:val="30"/>
          <w:highlight w:val="none"/>
        </w:rPr>
        <w:t>统计上大中小微型企业划分标准</w:t>
      </w:r>
      <w:bookmarkEnd w:id="67"/>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hint="eastAsia" w:ascii="宋体" w:hAnsi="宋体" w:cs="宋体"/>
          <w:color w:val="auto"/>
          <w:spacing w:val="8"/>
          <w:kern w:val="0"/>
          <w:szCs w:val="21"/>
          <w:highlight w:val="none"/>
        </w:rPr>
      </w:pPr>
    </w:p>
    <w:p>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pPr>
        <w:pStyle w:val="13"/>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pPr>
        <w:pStyle w:val="13"/>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3"/>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jc w:val="center"/>
        <w:outlineLvl w:val="0"/>
        <w:rPr>
          <w:rFonts w:hint="eastAsia" w:ascii="Times New Roman" w:hAnsi="Times New Roman" w:eastAsia="宋体" w:cs="Times New Roman"/>
          <w:b/>
          <w:color w:val="auto"/>
          <w:sz w:val="36"/>
          <w:highlight w:val="none"/>
        </w:rPr>
      </w:pPr>
      <w:bookmarkStart w:id="68" w:name="_Toc496"/>
      <w:bookmarkStart w:id="69" w:name="_Toc28587"/>
      <w:bookmarkStart w:id="70" w:name="_Toc26039"/>
      <w:bookmarkStart w:id="71" w:name="_Toc3325"/>
      <w:bookmarkStart w:id="72" w:name="_Toc9063"/>
      <w:bookmarkStart w:id="73" w:name="_Toc6362"/>
      <w:bookmarkStart w:id="74" w:name="_Toc24489"/>
      <w:bookmarkStart w:id="75" w:name="_Toc8975"/>
      <w:bookmarkStart w:id="76" w:name="_Toc29172"/>
      <w:bookmarkStart w:id="77" w:name="_Toc532545044"/>
      <w:r>
        <w:rPr>
          <w:rFonts w:hint="eastAsia" w:ascii="Times New Roman" w:hAnsi="Times New Roman" w:eastAsia="宋体" w:cs="Times New Roman"/>
          <w:b/>
          <w:color w:val="auto"/>
          <w:sz w:val="36"/>
          <w:highlight w:val="none"/>
        </w:rPr>
        <w:br w:type="page"/>
      </w:r>
    </w:p>
    <w:p>
      <w:pPr>
        <w:pStyle w:val="13"/>
        <w:jc w:val="center"/>
        <w:outlineLvl w:val="0"/>
        <w:rPr>
          <w:rFonts w:hint="eastAsia" w:hAnsi="宋体" w:eastAsia="宋体" w:cs="Times New Roman"/>
          <w:b/>
          <w:color w:val="auto"/>
          <w:sz w:val="36"/>
          <w:szCs w:val="36"/>
          <w:highlight w:val="none"/>
        </w:rPr>
      </w:pPr>
      <w:bookmarkStart w:id="78" w:name="_Toc26044"/>
      <w:bookmarkStart w:id="79" w:name="_Toc20085"/>
      <w:bookmarkStart w:id="80" w:name="_Toc20953"/>
      <w:bookmarkStart w:id="81"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13"/>
        <w:spacing w:line="720" w:lineRule="auto"/>
        <w:jc w:val="center"/>
        <w:outlineLvl w:val="1"/>
        <w:rPr>
          <w:rFonts w:hint="eastAsia" w:ascii="Times New Roman" w:hAnsi="Times New Roman" w:eastAsia="宋体" w:cs="Times New Roman"/>
          <w:b/>
          <w:color w:val="auto"/>
          <w:sz w:val="30"/>
          <w:szCs w:val="30"/>
          <w:highlight w:val="none"/>
        </w:rPr>
      </w:pPr>
      <w:bookmarkStart w:id="82" w:name="_Toc11515"/>
      <w:bookmarkStart w:id="83" w:name="_Toc10039"/>
      <w:bookmarkStart w:id="84" w:name="_Toc24714"/>
      <w:bookmarkStart w:id="85" w:name="_Toc1597"/>
      <w:bookmarkStart w:id="86" w:name="_Toc16388"/>
      <w:bookmarkStart w:id="87" w:name="_Toc8769"/>
      <w:bookmarkStart w:id="88" w:name="_Toc4562"/>
      <w:bookmarkStart w:id="89" w:name="_Toc29809"/>
      <w:bookmarkStart w:id="90" w:name="_Toc32208"/>
      <w:bookmarkStart w:id="91" w:name="_Toc29813"/>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82"/>
      <w:bookmarkEnd w:id="83"/>
      <w:bookmarkEnd w:id="84"/>
      <w:bookmarkEnd w:id="85"/>
      <w:bookmarkEnd w:id="86"/>
      <w:bookmarkEnd w:id="87"/>
      <w:bookmarkEnd w:id="88"/>
      <w:bookmarkEnd w:id="89"/>
      <w:bookmarkEnd w:id="90"/>
      <w:bookmarkEnd w:id="91"/>
    </w:p>
    <w:tbl>
      <w:tblPr>
        <w:tblStyle w:val="21"/>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92" w:name="_9.2"/>
            <w:bookmarkEnd w:id="92"/>
            <w:bookmarkStart w:id="93" w:name="_5"/>
            <w:bookmarkEnd w:id="93"/>
            <w:bookmarkStart w:id="94" w:name="_8.1"/>
            <w:bookmarkEnd w:id="94"/>
            <w:r>
              <w:rPr>
                <w:rFonts w:hint="eastAsia" w:asciiTheme="minorEastAsia" w:hAnsiTheme="minorEastAsia" w:eastAsiaTheme="minorEastAsia" w:cstheme="minorEastAsia"/>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color w:val="auto"/>
                <w:sz w:val="21"/>
                <w:szCs w:val="21"/>
                <w:highlight w:val="none"/>
              </w:rPr>
            </w:pPr>
            <w:bookmarkStart w:id="95" w:name="PO_3000001866_PM007"/>
            <w:r>
              <w:rPr>
                <w:rFonts w:hint="eastAsia" w:asciiTheme="minorEastAsia" w:hAnsiTheme="minorEastAsia" w:eastAsiaTheme="minorEastAsia" w:cstheme="minorEastAsia"/>
                <w:color w:val="auto"/>
                <w:szCs w:val="21"/>
                <w:highlight w:val="none"/>
              </w:rPr>
              <w:t>详见招标公告。</w:t>
            </w:r>
            <w:bookmarkEnd w:id="9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1.两个以上投标人可以组成一个投标联合体，以一个投标人的身份共同参加投标。联合体投标的，须提供《联合体投标协议书》（格式后附）。</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5.联合体中有同类资质的投标人按照联合体分工承担相同工作的，应当按照资质等级较低的投标人确定资质等级。</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6.联合体投标业绩、履约能力按照联合体各方其中较高的一方认定并计算（招标文件另有规定的除外）。</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7.投标人为联合体的，可以由联合体中的一方或者多方共同缴纳投标保证金，其缴纳的投标保证金对联合体各方均具有约束力。</w:t>
            </w:r>
          </w:p>
          <w:p>
            <w:pPr>
              <w:pStyle w:val="9"/>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color w:val="auto"/>
                <w:sz w:val="21"/>
                <w:szCs w:val="21"/>
                <w:highlight w:val="none"/>
                <w:lang w:eastAsia="zh-CN"/>
              </w:rPr>
            </w:pPr>
            <w:bookmarkStart w:id="96" w:name="PO_3000001866_PM044"/>
            <w:r>
              <w:rPr>
                <w:rFonts w:hint="eastAsia" w:asciiTheme="minorEastAsia" w:hAnsiTheme="minorEastAsia" w:eastAsiaTheme="minorEastAsia" w:cstheme="minorEastAsia"/>
                <w:color w:val="auto"/>
                <w:sz w:val="21"/>
                <w:szCs w:val="21"/>
                <w:highlight w:val="none"/>
                <w:lang w:eastAsia="zh-CN"/>
              </w:rPr>
              <w:t>☑不允许分包</w:t>
            </w:r>
            <w:bookmarkEnd w:id="96"/>
          </w:p>
          <w:p>
            <w:pPr>
              <w:pStyle w:val="9"/>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转包/分包内容：</w:t>
            </w:r>
            <w:r>
              <w:rPr>
                <w:rFonts w:hint="eastAsia" w:asciiTheme="minorEastAsia" w:hAnsiTheme="minorEastAsia" w:eastAsiaTheme="minorEastAsia" w:cstheme="minorEastAsia"/>
                <w:color w:val="auto"/>
                <w:sz w:val="21"/>
                <w:szCs w:val="21"/>
                <w:highlight w:val="none"/>
                <w:u w:val="single"/>
              </w:rPr>
              <w:t xml:space="preserve">                                     。</w:t>
            </w:r>
          </w:p>
          <w:p>
            <w:pPr>
              <w:pStyle w:val="9"/>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转包/分包金额或者比例：</w:t>
            </w:r>
            <w:r>
              <w:rPr>
                <w:rFonts w:hint="eastAsia" w:asciiTheme="minorEastAsia" w:hAnsiTheme="minorEastAsia" w:eastAsiaTheme="minorEastAsia" w:cstheme="minorEastAsia"/>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与本项目相关的政府采购业务澄清、更正及与之相关的事项将在</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公告中“六、其他补充事宜”中网上查询地址上发布</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不组织召开开标前答疑会</w:t>
            </w:r>
            <w:r>
              <w:rPr>
                <w:rFonts w:hint="eastAsia" w:asciiTheme="minorEastAsia" w:hAnsiTheme="minorEastAsia" w:eastAsiaTheme="minorEastAsia" w:cstheme="minorEastAsia"/>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bookmarkStart w:id="97" w:name="_13.2"/>
            <w:bookmarkEnd w:id="97"/>
            <w:r>
              <w:rPr>
                <w:rFonts w:hint="eastAsia" w:asciiTheme="minorEastAsia" w:hAnsiTheme="minorEastAsia" w:eastAsiaTheme="minorEastAsia" w:cstheme="minorEastAsia"/>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1、投标人为法人或者其他组织的，提供营业执照等证明文件</w:t>
            </w:r>
            <w:r>
              <w:rPr>
                <w:rFonts w:hint="eastAsia" w:asciiTheme="minorEastAsia" w:hAnsiTheme="minorEastAsia" w:eastAsiaTheme="minorEastAsia" w:cstheme="minorEastAsia"/>
                <w:color w:val="auto"/>
                <w:sz w:val="21"/>
                <w:szCs w:val="21"/>
                <w:highlight w:val="none"/>
                <w:lang w:eastAsia="zh-CN"/>
              </w:rPr>
              <w:t>复印件</w:t>
            </w:r>
            <w:r>
              <w:rPr>
                <w:rFonts w:hint="eastAsia" w:asciiTheme="minorEastAsia" w:hAnsiTheme="minorEastAsia" w:eastAsiaTheme="minorEastAsia" w:cstheme="minorEastAsia"/>
                <w:color w:val="auto"/>
                <w:sz w:val="21"/>
                <w:szCs w:val="21"/>
                <w:highlight w:val="none"/>
              </w:rPr>
              <w:t>（如营业执照或者事业单位法人证书或者</w:t>
            </w:r>
            <w:r>
              <w:rPr>
                <w:rStyle w:val="29"/>
                <w:rFonts w:hint="eastAsia" w:asciiTheme="minorEastAsia" w:hAnsiTheme="minorEastAsia" w:eastAsiaTheme="minorEastAsia" w:cstheme="minorEastAsia"/>
                <w:color w:val="auto"/>
                <w:sz w:val="21"/>
                <w:szCs w:val="21"/>
                <w:highlight w:val="none"/>
              </w:rPr>
              <w:t>执业许可证</w:t>
            </w:r>
            <w:r>
              <w:rPr>
                <w:rFonts w:hint="eastAsia" w:asciiTheme="minorEastAsia" w:hAnsiTheme="minorEastAsia" w:eastAsiaTheme="minorEastAsia" w:cstheme="minorEastAsia"/>
                <w:color w:val="auto"/>
                <w:sz w:val="21"/>
                <w:szCs w:val="21"/>
                <w:highlight w:val="none"/>
              </w:rPr>
              <w:t>等），投标人为自然人的，提供</w:t>
            </w:r>
            <w:r>
              <w:rPr>
                <w:rFonts w:hint="eastAsia" w:asciiTheme="minorEastAsia" w:hAnsiTheme="minorEastAsia" w:eastAsiaTheme="minorEastAsia" w:cstheme="minorEastAsia"/>
                <w:color w:val="auto"/>
                <w:sz w:val="21"/>
                <w:szCs w:val="21"/>
                <w:highlight w:val="none"/>
                <w:lang w:eastAsia="zh-CN"/>
              </w:rPr>
              <w:t>有效</w:t>
            </w:r>
            <w:r>
              <w:rPr>
                <w:rFonts w:hint="eastAsia" w:asciiTheme="minorEastAsia" w:hAnsiTheme="minorEastAsia" w:eastAsiaTheme="minorEastAsia" w:cstheme="minorEastAsia"/>
                <w:color w:val="auto"/>
                <w:sz w:val="21"/>
                <w:szCs w:val="21"/>
                <w:highlight w:val="none"/>
              </w:rPr>
              <w:t>身份证</w:t>
            </w:r>
            <w:r>
              <w:rPr>
                <w:rFonts w:hint="eastAsia" w:asciiTheme="minorEastAsia" w:hAnsiTheme="minorEastAsia" w:eastAsiaTheme="minorEastAsia" w:cstheme="minorEastAsia"/>
                <w:color w:val="auto"/>
                <w:sz w:val="21"/>
                <w:szCs w:val="21"/>
                <w:highlight w:val="none"/>
                <w:lang w:eastAsia="zh-CN"/>
              </w:rPr>
              <w:t>正反面</w:t>
            </w:r>
            <w:r>
              <w:rPr>
                <w:rFonts w:hint="eastAsia" w:asciiTheme="minorEastAsia" w:hAnsiTheme="minorEastAsia" w:eastAsiaTheme="minorEastAsia" w:cstheme="minorEastAsia"/>
                <w:color w:val="auto"/>
                <w:sz w:val="21"/>
                <w:szCs w:val="21"/>
                <w:highlight w:val="none"/>
              </w:rPr>
              <w:t>复印件。（</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pStyle w:val="9"/>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2、投标人依法缴</w:t>
            </w:r>
            <w:r>
              <w:rPr>
                <w:rFonts w:hint="eastAsia" w:asciiTheme="minorEastAsia" w:hAnsiTheme="minorEastAsia" w:eastAsiaTheme="minorEastAsia" w:cstheme="minorEastAsia"/>
                <w:color w:val="auto"/>
                <w:sz w:val="21"/>
                <w:szCs w:val="21"/>
                <w:highlight w:val="none"/>
              </w:rPr>
              <w:t>纳税收的相关材料</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Cs w:val="21"/>
                <w:highlight w:val="none"/>
                <w:u w:val="none"/>
                <w:lang w:val="en-US" w:eastAsia="zh-CN"/>
              </w:rPr>
              <w:t>提供税款所属时期为</w:t>
            </w:r>
            <w:r>
              <w:rPr>
                <w:rFonts w:hint="eastAsia" w:asciiTheme="minorEastAsia" w:hAnsiTheme="minorEastAsia" w:eastAsiaTheme="minorEastAsia" w:cstheme="minorEastAsia"/>
                <w:color w:val="auto"/>
                <w:szCs w:val="21"/>
                <w:highlight w:val="none"/>
                <w:u w:val="single"/>
                <w:lang w:val="en-US" w:eastAsia="zh-CN"/>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 w:val="21"/>
                <w:szCs w:val="21"/>
                <w:highlight w:val="none"/>
              </w:rPr>
              <w:t>投标文件提交截止时间止</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Cs w:val="21"/>
                <w:highlight w:val="none"/>
                <w:lang w:eastAsia="zh-CN"/>
              </w:rPr>
              <w:t>任意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个月</w:t>
            </w:r>
            <w:r>
              <w:rPr>
                <w:rFonts w:hint="eastAsia" w:asciiTheme="minorEastAsia" w:hAnsiTheme="minorEastAsia" w:eastAsiaTheme="minorEastAsia" w:cstheme="minorEastAsia"/>
                <w:color w:val="auto"/>
                <w:sz w:val="21"/>
                <w:szCs w:val="21"/>
                <w:highlight w:val="none"/>
              </w:rPr>
              <w:t>的依法缴纳税收的凭据复印件；依法免税的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3、投标人依法缴纳社会保障资金的相关材料</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Cs w:val="21"/>
                <w:highlight w:val="none"/>
                <w:u w:val="none"/>
                <w:lang w:val="en-US" w:eastAsia="zh-CN"/>
              </w:rPr>
              <w:t>提供税款所属时期或缴费起始时间为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2025</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 w:val="21"/>
                <w:szCs w:val="21"/>
                <w:highlight w:val="none"/>
              </w:rPr>
              <w:t>投标文件提交截止时间止</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Cs w:val="21"/>
                <w:highlight w:val="none"/>
                <w:lang w:eastAsia="zh-CN"/>
              </w:rPr>
              <w:t>任意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个月</w:t>
            </w:r>
            <w:r>
              <w:rPr>
                <w:rFonts w:hint="eastAsia" w:asciiTheme="minorEastAsia" w:hAnsiTheme="minorEastAsia" w:eastAsiaTheme="minorEastAsia" w:cstheme="minorEastAsia"/>
                <w:color w:val="auto"/>
                <w:sz w:val="21"/>
                <w:szCs w:val="21"/>
                <w:highlight w:val="none"/>
              </w:rPr>
              <w:t>的依法缴纳社会保障资金的缴费凭证复印件；依法不需要缴纳社会保障资金</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投标人财务状况报告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Cs w:val="21"/>
                <w:highlight w:val="none"/>
              </w:rPr>
              <w:t>提供</w:t>
            </w:r>
            <w:r>
              <w:rPr>
                <w:rFonts w:hint="eastAsia" w:asciiTheme="minorEastAsia" w:hAnsiTheme="minorEastAsia" w:eastAsiaTheme="minorEastAsia" w:cstheme="minorEastAsia"/>
                <w:color w:val="auto"/>
                <w:szCs w:val="21"/>
                <w:highlight w:val="none"/>
                <w:u w:val="single"/>
                <w:lang w:val="en-US" w:eastAsia="zh-CN"/>
              </w:rPr>
              <w:t>2024</w:t>
            </w:r>
            <w:r>
              <w:rPr>
                <w:rFonts w:hint="eastAsia" w:asciiTheme="minorEastAsia" w:hAnsiTheme="minorEastAsia" w:eastAsiaTheme="minorEastAsia" w:cstheme="minorEastAsia"/>
                <w:color w:val="auto"/>
                <w:szCs w:val="21"/>
                <w:highlight w:val="none"/>
              </w:rPr>
              <w:t>年度经审计的财务报告</w:t>
            </w:r>
            <w:r>
              <w:rPr>
                <w:rFonts w:hint="eastAsia" w:asciiTheme="minorEastAsia" w:hAnsiTheme="minorEastAsia" w:eastAsiaTheme="minorEastAsia" w:cstheme="minorEastAsia"/>
                <w:color w:val="auto"/>
                <w:szCs w:val="21"/>
                <w:highlight w:val="none"/>
                <w:lang w:eastAsia="zh-CN"/>
              </w:rPr>
              <w:t>复印件</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者</w:t>
            </w:r>
            <w:r>
              <w:rPr>
                <w:rFonts w:hint="eastAsia" w:asciiTheme="minorEastAsia" w:hAnsiTheme="minorEastAsia" w:eastAsiaTheme="minorEastAsia" w:cstheme="minorEastAsia"/>
                <w:color w:val="auto"/>
                <w:szCs w:val="21"/>
                <w:highlight w:val="none"/>
              </w:rPr>
              <w:t>截标时间前半年内至少一个月能反映财务状况的报表或</w:t>
            </w:r>
            <w:r>
              <w:rPr>
                <w:rFonts w:hint="eastAsia" w:asciiTheme="minorEastAsia" w:hAnsiTheme="minorEastAsia" w:eastAsiaTheme="minorEastAsia" w:cstheme="minorEastAsia"/>
                <w:color w:val="auto"/>
                <w:szCs w:val="21"/>
                <w:highlight w:val="none"/>
                <w:lang w:eastAsia="zh-CN"/>
              </w:rPr>
              <w:t>者</w:t>
            </w:r>
            <w:r>
              <w:rPr>
                <w:rFonts w:hint="eastAsia" w:asciiTheme="minorEastAsia" w:hAnsiTheme="minorEastAsia" w:eastAsiaTheme="minorEastAsia" w:cstheme="minorEastAsia"/>
                <w:color w:val="auto"/>
                <w:szCs w:val="21"/>
                <w:highlight w:val="none"/>
              </w:rPr>
              <w:t>投标人自拟的截标时间前半年内至少一个月的财务情况说明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numPr>
                <w:ilvl w:val="0"/>
                <w:numId w:val="0"/>
              </w:num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供应商应为具有有效的办学许可证的单位（民办培训机构或民办学校）或事业单位法人证书（公办院校）或经相关政府部门批准具备承接政府补贴性培训的机构。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numPr>
                <w:ilvl w:val="0"/>
                <w:numId w:val="0"/>
              </w:numPr>
              <w:snapToGrid w:val="0"/>
              <w:spacing w:line="360" w:lineRule="auto"/>
              <w:ind w:left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声明函（格式后附）。（</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bookmarkStart w:id="98" w:name="OLE_LINK6"/>
            <w:r>
              <w:rPr>
                <w:rFonts w:hint="eastAsia" w:asciiTheme="minorEastAsia" w:hAnsiTheme="minorEastAsia" w:eastAsiaTheme="minorEastAsia" w:cstheme="minorEastAsia"/>
                <w:color w:val="auto"/>
                <w:szCs w:val="21"/>
                <w:highlight w:val="none"/>
              </w:rPr>
              <w:t>联合体投标协议书（格式后附）</w:t>
            </w:r>
            <w:bookmarkEnd w:id="98"/>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（联合体投标时必须提供，否则作无效投标处理）</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、除招标文件规定必须提供以外，投标人认为需要提供的其他证明材料（格式自拟）。</w:t>
            </w:r>
          </w:p>
          <w:p>
            <w:pPr>
              <w:snapToGrid w:val="0"/>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以上标明“必须提供”的材料</w:t>
            </w:r>
            <w:r>
              <w:rPr>
                <w:rFonts w:hint="eastAsia" w:asciiTheme="minorEastAsia" w:hAnsiTheme="minorEastAsia" w:eastAsiaTheme="minorEastAsia" w:cstheme="minorEastAsia"/>
                <w:b/>
                <w:color w:val="auto"/>
                <w:sz w:val="21"/>
                <w:szCs w:val="21"/>
                <w:highlight w:val="none"/>
              </w:rPr>
              <w:t>属于复印件的扫描件的</w:t>
            </w:r>
            <w:r>
              <w:rPr>
                <w:rFonts w:hint="eastAsia" w:asciiTheme="minorEastAsia" w:hAnsiTheme="minorEastAsia" w:eastAsiaTheme="minorEastAsia" w:cstheme="minorEastAsia"/>
                <w:b/>
                <w:bCs/>
                <w:color w:val="auto"/>
                <w:sz w:val="21"/>
                <w:szCs w:val="21"/>
                <w:highlight w:val="none"/>
              </w:rPr>
              <w:t>，必须加盖</w:t>
            </w:r>
            <w:r>
              <w:rPr>
                <w:rFonts w:hint="eastAsia" w:asciiTheme="minorEastAsia" w:hAnsiTheme="minorEastAsia" w:eastAsiaTheme="minorEastAsia" w:cstheme="minorEastAsia"/>
                <w:b/>
                <w:bCs/>
                <w:color w:val="auto"/>
                <w:sz w:val="21"/>
                <w:szCs w:val="21"/>
                <w:highlight w:val="none"/>
                <w:lang w:eastAsia="zh-CN"/>
              </w:rPr>
              <w:t>投标人公章</w:t>
            </w:r>
            <w:r>
              <w:rPr>
                <w:rFonts w:hint="eastAsia" w:asciiTheme="minorEastAsia" w:hAnsiTheme="minorEastAsia" w:eastAsiaTheme="minorEastAsia" w:cstheme="minorEastAsia"/>
                <w:b/>
                <w:bCs/>
                <w:color w:val="auto"/>
                <w:sz w:val="21"/>
                <w:szCs w:val="21"/>
                <w:highlight w:val="none"/>
              </w:rPr>
              <w:t>，否则</w:t>
            </w:r>
            <w:r>
              <w:rPr>
                <w:rFonts w:hint="eastAsia" w:asciiTheme="minorEastAsia" w:hAnsiTheme="minorEastAsia" w:eastAsiaTheme="minorEastAsia" w:cstheme="minorEastAsia"/>
                <w:b/>
                <w:color w:val="auto"/>
                <w:sz w:val="21"/>
                <w:szCs w:val="21"/>
                <w:highlight w:val="none"/>
              </w:rPr>
              <w:t>作无效投标处理。</w:t>
            </w:r>
          </w:p>
          <w:p>
            <w:pPr>
              <w:snapToGrid w:val="0"/>
              <w:spacing w:line="360" w:lineRule="auto"/>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bCs/>
                <w:color w:val="auto"/>
                <w:szCs w:val="21"/>
                <w:highlight w:val="none"/>
              </w:rPr>
              <w:t>.联合体投标时，第1-5项资格证明文件联合体各方均必须分别提供，联合体各方分别盖章，否则投标文件</w:t>
            </w:r>
            <w:r>
              <w:rPr>
                <w:rFonts w:hint="eastAsia" w:asciiTheme="minorEastAsia" w:hAnsiTheme="minorEastAsia" w:eastAsiaTheme="minorEastAsia" w:cstheme="minorEastAsia"/>
                <w:b/>
                <w:bCs/>
                <w:color w:val="auto"/>
                <w:szCs w:val="21"/>
                <w:highlight w:val="none"/>
                <w:lang w:eastAsia="zh-CN"/>
              </w:rPr>
              <w:t>作无效投标</w:t>
            </w:r>
            <w:r>
              <w:rPr>
                <w:rFonts w:hint="eastAsia" w:asciiTheme="minorEastAsia" w:hAnsiTheme="minorEastAsia" w:eastAsiaTheme="minorEastAsia" w:cstheme="minorEastAsia"/>
                <w:b/>
                <w:bCs/>
                <w:color w:val="auto"/>
                <w:szCs w:val="21"/>
                <w:highlight w:val="none"/>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bookmarkStart w:id="99" w:name="_13.3"/>
            <w:bookmarkEnd w:id="99"/>
            <w:r>
              <w:rPr>
                <w:rFonts w:hint="eastAsia" w:asciiTheme="minorEastAsia" w:hAnsiTheme="minorEastAsia" w:eastAsiaTheme="minorEastAsia" w:cstheme="minorEastAsia"/>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1、无串通投标行为的承诺函（格式后附）；（</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2、法定代表人身份证明及法定代表人有效身份证正反面复印件（格式后附）；（</w:t>
            </w:r>
            <w:r>
              <w:rPr>
                <w:rFonts w:hint="eastAsia" w:asciiTheme="minorEastAsia" w:hAnsiTheme="minorEastAsia" w:eastAsiaTheme="minorEastAsia" w:cstheme="minorEastAsia"/>
                <w:b/>
                <w:bCs/>
                <w:color w:val="auto"/>
                <w:sz w:val="21"/>
                <w:szCs w:val="21"/>
                <w:highlight w:val="none"/>
              </w:rPr>
              <w:t>除自然人投标外</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3、法定代表人授权委托书及委托代理人有效身份证正反面复印件（格式后附）；（</w:t>
            </w:r>
            <w:r>
              <w:rPr>
                <w:rFonts w:hint="eastAsia" w:asciiTheme="minorEastAsia" w:hAnsiTheme="minorEastAsia" w:eastAsiaTheme="minorEastAsia" w:cstheme="minorEastAsia"/>
                <w:b/>
                <w:color w:val="auto"/>
                <w:sz w:val="21"/>
                <w:szCs w:val="21"/>
                <w:highlight w:val="none"/>
              </w:rPr>
              <w:t>委托时必须提供，否则作无效投标处理</w:t>
            </w:r>
            <w:r>
              <w:rPr>
                <w:rFonts w:hint="eastAsia" w:asciiTheme="minorEastAsia" w:hAnsiTheme="minorEastAsia" w:eastAsiaTheme="minorEastAsia" w:cstheme="minorEastAsia"/>
                <w:color w:val="auto"/>
                <w:sz w:val="21"/>
                <w:szCs w:val="21"/>
                <w:highlight w:val="none"/>
              </w:rPr>
              <w:t>）</w:t>
            </w:r>
          </w:p>
          <w:p>
            <w:pPr>
              <w:pStyle w:val="14"/>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4、投标保证金提交凭证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（必须提供，否则作无效投标处理）</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、商务条款偏离表（格式后附）；（</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、投标人情况介绍（格式自拟）；</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、除招标文件规定必须提供以外，投标人认为需要提供的其他证明材料（格式自拟）。（投标人根据“第二章 采购需求”及“第四章 评标方法</w:t>
            </w:r>
            <w:r>
              <w:rPr>
                <w:rFonts w:hint="eastAsia" w:asciiTheme="minorEastAsia" w:hAnsiTheme="minorEastAsia" w:eastAsiaTheme="minorEastAsia" w:cstheme="minorEastAsia"/>
                <w:color w:val="auto"/>
                <w:sz w:val="21"/>
                <w:szCs w:val="21"/>
                <w:highlight w:val="none"/>
                <w:lang w:eastAsia="zh-CN"/>
              </w:rPr>
              <w:t>和</w:t>
            </w:r>
            <w:r>
              <w:rPr>
                <w:rFonts w:hint="eastAsia" w:asciiTheme="minorEastAsia" w:hAnsiTheme="minorEastAsia" w:eastAsiaTheme="minorEastAsia" w:cstheme="minorEastAsia"/>
                <w:color w:val="auto"/>
                <w:sz w:val="21"/>
                <w:szCs w:val="21"/>
                <w:highlight w:val="none"/>
              </w:rPr>
              <w:t>评标标准”提供有关证明材料）。</w:t>
            </w:r>
          </w:p>
          <w:p>
            <w:pPr>
              <w:snapToGrid w:val="0"/>
              <w:spacing w:line="36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 1.法定代表人授权委托书必须由法定代表人及委托代理人签字，并加盖投标人公章，否则作无效投标处理。</w:t>
            </w:r>
          </w:p>
          <w:p>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以上标明“必须提供”的材料</w:t>
            </w:r>
            <w:r>
              <w:rPr>
                <w:rFonts w:hint="eastAsia" w:asciiTheme="minorEastAsia" w:hAnsiTheme="minorEastAsia" w:eastAsiaTheme="minorEastAsia" w:cstheme="minorEastAsia"/>
                <w:b/>
                <w:color w:val="auto"/>
                <w:sz w:val="21"/>
                <w:szCs w:val="21"/>
                <w:highlight w:val="none"/>
              </w:rPr>
              <w:t>属于复印件的扫描件的</w:t>
            </w:r>
            <w:r>
              <w:rPr>
                <w:rFonts w:hint="eastAsia" w:asciiTheme="minorEastAsia" w:hAnsiTheme="minorEastAsia" w:eastAsiaTheme="minorEastAsia" w:cstheme="minorEastAsia"/>
                <w:b/>
                <w:bCs/>
                <w:color w:val="auto"/>
                <w:sz w:val="21"/>
                <w:szCs w:val="21"/>
                <w:highlight w:val="none"/>
              </w:rPr>
              <w:t>，必须加盖</w:t>
            </w:r>
            <w:r>
              <w:rPr>
                <w:rFonts w:hint="eastAsia" w:asciiTheme="minorEastAsia" w:hAnsiTheme="minorEastAsia" w:eastAsiaTheme="minorEastAsia" w:cstheme="minorEastAsia"/>
                <w:b/>
                <w:bCs/>
                <w:color w:val="auto"/>
                <w:sz w:val="21"/>
                <w:szCs w:val="21"/>
                <w:highlight w:val="none"/>
                <w:lang w:eastAsia="zh-CN"/>
              </w:rPr>
              <w:t>投标人公章</w:t>
            </w:r>
            <w:r>
              <w:rPr>
                <w:rFonts w:hint="eastAsia" w:asciiTheme="minorEastAsia" w:hAnsiTheme="minorEastAsia" w:eastAsiaTheme="minorEastAsia" w:cstheme="minorEastAsia"/>
                <w:b/>
                <w:bCs/>
                <w:color w:val="auto"/>
                <w:sz w:val="21"/>
                <w:szCs w:val="21"/>
                <w:highlight w:val="none"/>
              </w:rPr>
              <w:t>，否则</w:t>
            </w:r>
            <w:r>
              <w:rPr>
                <w:rFonts w:hint="eastAsia" w:asciiTheme="minorEastAsia" w:hAnsiTheme="minorEastAsia" w:eastAsiaTheme="minorEastAsia" w:cstheme="minorEastAsia"/>
                <w:b/>
                <w:color w:val="auto"/>
                <w:sz w:val="21"/>
                <w:szCs w:val="21"/>
                <w:highlight w:val="none"/>
              </w:rPr>
              <w:t>作无效投标处理</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bookmarkStart w:id="100" w:name="_13.4"/>
            <w:bookmarkEnd w:id="100"/>
            <w:r>
              <w:rPr>
                <w:rFonts w:hint="eastAsia" w:asciiTheme="minorEastAsia" w:hAnsiTheme="minorEastAsia" w:eastAsiaTheme="minorEastAsia" w:cstheme="minorEastAsia"/>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w:t>
            </w:r>
            <w:r>
              <w:rPr>
                <w:rFonts w:hint="eastAsia" w:asciiTheme="minorEastAsia" w:hAnsiTheme="minorEastAsia" w:eastAsiaTheme="minorEastAsia" w:cstheme="minorEastAsia"/>
                <w:color w:val="auto"/>
                <w:sz w:val="21"/>
                <w:szCs w:val="21"/>
                <w:highlight w:val="none"/>
                <w:lang w:eastAsia="zh-CN"/>
              </w:rPr>
              <w:t>要求</w:t>
            </w:r>
            <w:r>
              <w:rPr>
                <w:rFonts w:hint="eastAsia" w:asciiTheme="minorEastAsia" w:hAnsiTheme="minorEastAsia" w:eastAsiaTheme="minorEastAsia" w:cstheme="minorEastAsia"/>
                <w:color w:val="auto"/>
                <w:sz w:val="21"/>
                <w:szCs w:val="21"/>
                <w:highlight w:val="none"/>
              </w:rPr>
              <w:t>偏离表（格式后附）；（</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服务实施方案（格式自拟）</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3、售后服务方案（格式自拟）；</w:t>
            </w:r>
          </w:p>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4、项目实施人员一览表（格式</w:t>
            </w:r>
            <w:r>
              <w:rPr>
                <w:rFonts w:hint="eastAsia" w:asciiTheme="minorEastAsia" w:hAnsiTheme="minorEastAsia" w:eastAsiaTheme="minorEastAsia" w:cstheme="minorEastAsia"/>
                <w:color w:val="auto"/>
                <w:sz w:val="21"/>
                <w:szCs w:val="21"/>
                <w:highlight w:val="none"/>
              </w:rPr>
              <w:t>后附</w:t>
            </w:r>
            <w:r>
              <w:rPr>
                <w:rFonts w:hint="eastAsia" w:asciiTheme="minorEastAsia" w:hAnsiTheme="minorEastAsia" w:eastAsiaTheme="minorEastAsia" w:cstheme="minorEastAsia"/>
                <w:color w:val="auto"/>
                <w:sz w:val="21"/>
                <w:szCs w:val="21"/>
                <w:highlight w:val="none"/>
              </w:rPr>
              <w:t>）；</w:t>
            </w:r>
          </w:p>
          <w:p>
            <w:pPr>
              <w:snapToGrid w:val="0"/>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、除招标文件规定必须提供以外，投标人需要说明的其他文件和说明（格式自拟）。</w:t>
            </w:r>
          </w:p>
          <w:p>
            <w:pPr>
              <w:snapToGrid w:val="0"/>
              <w:spacing w:line="36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注：以上标明“必须提供”的材料</w:t>
            </w:r>
            <w:r>
              <w:rPr>
                <w:rFonts w:hint="eastAsia" w:asciiTheme="minorEastAsia" w:hAnsiTheme="minorEastAsia" w:eastAsiaTheme="minorEastAsia" w:cstheme="minorEastAsia"/>
                <w:b/>
                <w:color w:val="auto"/>
                <w:sz w:val="21"/>
                <w:szCs w:val="21"/>
                <w:highlight w:val="none"/>
              </w:rPr>
              <w:t>属于复印件的扫描件的</w:t>
            </w:r>
            <w:r>
              <w:rPr>
                <w:rFonts w:hint="eastAsia" w:asciiTheme="minorEastAsia" w:hAnsiTheme="minorEastAsia" w:eastAsiaTheme="minorEastAsia" w:cstheme="minorEastAsia"/>
                <w:b/>
                <w:bCs/>
                <w:color w:val="auto"/>
                <w:sz w:val="21"/>
                <w:szCs w:val="21"/>
                <w:highlight w:val="none"/>
              </w:rPr>
              <w:t>，必须加盖</w:t>
            </w:r>
            <w:r>
              <w:rPr>
                <w:rFonts w:hint="eastAsia" w:asciiTheme="minorEastAsia" w:hAnsiTheme="minorEastAsia" w:eastAsiaTheme="minorEastAsia" w:cstheme="minorEastAsia"/>
                <w:b/>
                <w:bCs/>
                <w:color w:val="auto"/>
                <w:sz w:val="21"/>
                <w:szCs w:val="21"/>
                <w:highlight w:val="none"/>
                <w:lang w:eastAsia="zh-CN"/>
              </w:rPr>
              <w:t>投标人公章</w:t>
            </w:r>
            <w:r>
              <w:rPr>
                <w:rFonts w:hint="eastAsia" w:asciiTheme="minorEastAsia" w:hAnsiTheme="minorEastAsia" w:eastAsiaTheme="minorEastAsia" w:cstheme="minorEastAsia"/>
                <w:b/>
                <w:bCs/>
                <w:color w:val="auto"/>
                <w:sz w:val="21"/>
                <w:szCs w:val="21"/>
                <w:highlight w:val="none"/>
              </w:rPr>
              <w:t>，否则</w:t>
            </w:r>
            <w:r>
              <w:rPr>
                <w:rFonts w:hint="eastAsia" w:asciiTheme="minorEastAsia" w:hAnsiTheme="minorEastAsia" w:eastAsiaTheme="minorEastAsia" w:cstheme="minorEastAsia"/>
                <w:b/>
                <w:color w:val="auto"/>
                <w:sz w:val="21"/>
                <w:szCs w:val="21"/>
                <w:highlight w:val="none"/>
              </w:rPr>
              <w:t>作无效投标处理</w:t>
            </w:r>
            <w:r>
              <w:rPr>
                <w:rFonts w:hint="eastAsia" w:asciiTheme="minorEastAsia" w:hAnsiTheme="minorEastAsia" w:eastAsiaTheme="minorEastAsia" w:cstheme="minorEastAsia"/>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tabs>
                <w:tab w:val="left" w:pos="459"/>
              </w:tabs>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1、投标函（格式后附）；</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b w:val="0"/>
                <w:bCs/>
                <w:color w:val="auto"/>
                <w:sz w:val="21"/>
                <w:szCs w:val="21"/>
                <w:highlight w:val="none"/>
              </w:rPr>
              <w:t>）</w:t>
            </w:r>
          </w:p>
          <w:p>
            <w:pPr>
              <w:tabs>
                <w:tab w:val="left" w:pos="459"/>
              </w:tabs>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2、开标一览表</w:t>
            </w:r>
            <w:r>
              <w:rPr>
                <w:rFonts w:hint="eastAsia" w:asciiTheme="minorEastAsia" w:hAnsiTheme="minorEastAsia" w:eastAsiaTheme="minorEastAsia" w:cstheme="minorEastAsia"/>
                <w:color w:val="auto"/>
                <w:szCs w:val="21"/>
                <w:highlight w:val="none"/>
              </w:rPr>
              <w:t>（格式后附）</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必须提供，否则作无效投标处理</w:t>
            </w:r>
            <w:r>
              <w:rPr>
                <w:rFonts w:hint="eastAsia" w:asciiTheme="minorEastAsia" w:hAnsiTheme="minorEastAsia" w:eastAsiaTheme="minorEastAsia" w:cstheme="minorEastAsia"/>
                <w:color w:val="auto"/>
                <w:sz w:val="21"/>
                <w:szCs w:val="21"/>
                <w:highlight w:val="none"/>
              </w:rPr>
              <w:t>）</w:t>
            </w:r>
          </w:p>
          <w:p>
            <w:pPr>
              <w:pStyle w:val="14"/>
              <w:spacing w:line="360" w:lineRule="auto"/>
              <w:rPr>
                <w:rFonts w:hint="eastAsia" w:asciiTheme="minorEastAsia" w:hAnsiTheme="minorEastAsia" w:eastAsiaTheme="minorEastAsia" w:cstheme="minorEastAsia"/>
                <w:i/>
                <w:i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中小企业声明函或者残疾人福利性单位声明函（格式后附）或者</w:t>
            </w:r>
            <w:r>
              <w:rPr>
                <w:rFonts w:hint="eastAsia" w:asciiTheme="minorEastAsia" w:hAnsiTheme="minorEastAsia" w:eastAsiaTheme="minorEastAsia" w:cstheme="minorEastAsia"/>
                <w:i w:val="0"/>
                <w:iCs w:val="0"/>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属于监狱企业的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lang w:eastAsia="zh-CN"/>
              </w:rPr>
              <w:t>提供由省级以上监狱管理局、戒毒管理局（含新疆生产建设兵团）出具的属于监狱企业的证明文件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（如有请提供）</w:t>
            </w:r>
          </w:p>
          <w:p>
            <w:pPr>
              <w:tabs>
                <w:tab w:val="left" w:pos="459"/>
              </w:tabs>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1" w:name="_16.2"/>
            <w:bookmarkEnd w:id="101"/>
            <w:r>
              <w:rPr>
                <w:rFonts w:hint="eastAsia" w:asciiTheme="minorEastAsia" w:hAnsiTheme="minorEastAsia" w:eastAsiaTheme="minorEastAsia" w:cstheme="minorEastAsia"/>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本项目为采用固定价格采购的项目，价格不列为评审因素。供应商需以分标预算作为开标一览表中的投标总报价。</w:t>
            </w:r>
            <w:r>
              <w:rPr>
                <w:rFonts w:hint="eastAsia" w:asciiTheme="minorEastAsia" w:hAnsiTheme="minorEastAsia" w:eastAsiaTheme="minorEastAsia" w:cstheme="minorEastAsia"/>
                <w:color w:val="auto"/>
                <w:highlight w:val="none"/>
              </w:rPr>
              <w:t>采购人公布的</w:t>
            </w:r>
            <w:r>
              <w:rPr>
                <w:rFonts w:hint="eastAsia" w:asciiTheme="minorEastAsia" w:hAnsiTheme="minorEastAsia" w:eastAsiaTheme="minorEastAsia" w:cstheme="minorEastAsia"/>
                <w:color w:val="auto"/>
                <w:highlight w:val="none"/>
                <w:lang w:val="en-US" w:eastAsia="zh-CN"/>
              </w:rPr>
              <w:t>培训</w:t>
            </w:r>
            <w:r>
              <w:rPr>
                <w:rFonts w:hint="eastAsia" w:asciiTheme="minorEastAsia" w:hAnsiTheme="minorEastAsia" w:eastAsiaTheme="minorEastAsia" w:cstheme="minorEastAsia"/>
                <w:color w:val="auto"/>
                <w:highlight w:val="none"/>
              </w:rPr>
              <w:t>单价是履行合同的最终价格，必须包含学杂费、职业技能鉴定费以及培训场地费、培训资料费、师资费、考证费、推荐就业费、必要的保险费和各项税金、售后服务所产生的费用，采购人不再另行支付有关培训时产生的任何费用。（采购需求另有约定的，从其约定）</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投标报价包含验收费用</w:t>
            </w:r>
          </w:p>
          <w:p>
            <w:pPr>
              <w:pStyle w:val="14"/>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2" w:name="_17.1"/>
            <w:bookmarkEnd w:id="102"/>
            <w:r>
              <w:rPr>
                <w:rFonts w:hint="eastAsia" w:asciiTheme="minorEastAsia" w:hAnsiTheme="minorEastAsia" w:eastAsiaTheme="minorEastAsia" w:cstheme="minorEastAsia"/>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自投标截止之日起</w:t>
            </w:r>
            <w:r>
              <w:rPr>
                <w:rFonts w:hint="eastAsia" w:asciiTheme="minorEastAsia" w:hAnsiTheme="minorEastAsia" w:eastAsiaTheme="minorEastAsia" w:cstheme="minorEastAsia"/>
                <w:color w:val="auto"/>
                <w:sz w:val="21"/>
                <w:szCs w:val="21"/>
                <w:highlight w:val="none"/>
                <w:u w:val="single"/>
                <w:lang w:val="en-US" w:eastAsia="zh-CN"/>
              </w:rPr>
              <w:t xml:space="preserve">  90 </w:t>
            </w:r>
            <w:r>
              <w:rPr>
                <w:rFonts w:hint="eastAsia" w:asciiTheme="minorEastAsia" w:hAnsiTheme="minorEastAsia" w:eastAsiaTheme="minorEastAsia" w:cstheme="minorEastAsia"/>
                <w:color w:val="auto"/>
                <w:sz w:val="21"/>
                <w:szCs w:val="21"/>
                <w:highlight w:val="none"/>
                <w:u w:val="none"/>
                <w:lang w:val="en-US" w:eastAsia="zh-CN"/>
              </w:rPr>
              <w:t>日</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3" w:name="_18"/>
            <w:bookmarkEnd w:id="103"/>
            <w:r>
              <w:rPr>
                <w:rFonts w:hint="eastAsia" w:asciiTheme="minorEastAsia" w:hAnsiTheme="minorEastAsia" w:eastAsiaTheme="minorEastAsia" w:cstheme="minorEastAsia"/>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本项目需要缴纳投标保证金，</w:t>
            </w:r>
            <w:r>
              <w:rPr>
                <w:rFonts w:hint="eastAsia" w:asciiTheme="minorEastAsia" w:hAnsiTheme="minorEastAsia" w:eastAsiaTheme="minorEastAsia" w:cstheme="minorEastAsia"/>
                <w:b/>
                <w:bCs/>
                <w:color w:val="auto"/>
                <w:szCs w:val="21"/>
                <w:highlight w:val="none"/>
                <w:lang w:eastAsia="zh-CN"/>
              </w:rPr>
              <w:t>相关要求</w:t>
            </w:r>
            <w:r>
              <w:rPr>
                <w:rFonts w:hint="eastAsia" w:asciiTheme="minorEastAsia" w:hAnsiTheme="minorEastAsia" w:eastAsiaTheme="minorEastAsia" w:cstheme="minorEastAsia"/>
                <w:b/>
                <w:bCs/>
                <w:color w:val="auto"/>
                <w:szCs w:val="21"/>
                <w:highlight w:val="none"/>
              </w:rPr>
              <w:t>如下：</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投标保证金的</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方式：详见招标公告</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投标保证金的金额：详见招标公告</w:t>
            </w:r>
          </w:p>
          <w:p>
            <w:pPr>
              <w:pStyle w:val="9"/>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3.投标保证金采用银行转账缴纳方式的，在投标截止时间前交至采购代理机构指定账户并且到账，投标人应将银行转账底单的复印件作为投标保证金提交凭证，放置于商务文件中，</w:t>
            </w:r>
            <w:r>
              <w:rPr>
                <w:rFonts w:hint="eastAsia" w:asciiTheme="minorEastAsia" w:hAnsiTheme="minorEastAsia" w:eastAsiaTheme="minorEastAsia" w:cstheme="minorEastAsia"/>
                <w:b/>
                <w:color w:val="auto"/>
                <w:szCs w:val="21"/>
                <w:highlight w:val="none"/>
                <w:lang w:val="en-US" w:eastAsia="zh-CN"/>
              </w:rPr>
              <w:t>否则作无效投标处理</w:t>
            </w:r>
            <w:r>
              <w:rPr>
                <w:rFonts w:hint="eastAsia" w:asciiTheme="minorEastAsia" w:hAnsiTheme="minorEastAsia" w:eastAsiaTheme="minorEastAsia" w:cstheme="minorEastAsia"/>
                <w:color w:val="auto"/>
                <w:szCs w:val="21"/>
                <w:highlight w:val="none"/>
                <w:lang w:val="en-US" w:eastAsia="zh-CN"/>
              </w:rPr>
              <w:t>。</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.投标保证金采用支票、汇票、本票或者金融机构、担保机构出具的保函</w:t>
            </w:r>
            <w:r>
              <w:rPr>
                <w:rFonts w:hint="eastAsia" w:asciiTheme="minorEastAsia" w:hAnsiTheme="minorEastAsia" w:eastAsiaTheme="minorEastAsia" w:cstheme="minorEastAsia"/>
                <w:color w:val="auto"/>
                <w:szCs w:val="21"/>
                <w:highlight w:val="none"/>
                <w:lang w:eastAsia="zh-CN"/>
              </w:rPr>
              <w:t>等缴纳</w:t>
            </w:r>
            <w:r>
              <w:rPr>
                <w:rFonts w:hint="eastAsia" w:asciiTheme="minorEastAsia" w:hAnsiTheme="minorEastAsia" w:eastAsiaTheme="minorEastAsia" w:cstheme="minorEastAsia"/>
                <w:color w:val="auto"/>
                <w:szCs w:val="21"/>
                <w:highlight w:val="none"/>
              </w:rPr>
              <w:t>方式的，投标人应将支票、汇票、本票或者金融</w:t>
            </w:r>
            <w:r>
              <w:rPr>
                <w:rFonts w:hint="eastAsia" w:asciiTheme="minorEastAsia" w:hAnsiTheme="minorEastAsia" w:eastAsiaTheme="minorEastAsia" w:cstheme="minorEastAsia"/>
                <w:color w:val="auto"/>
                <w:szCs w:val="21"/>
                <w:highlight w:val="none"/>
                <w:lang w:eastAsia="zh-CN"/>
              </w:rPr>
              <w:t>机构</w:t>
            </w:r>
            <w:r>
              <w:rPr>
                <w:rFonts w:hint="eastAsia" w:asciiTheme="minorEastAsia" w:hAnsiTheme="minorEastAsia" w:eastAsiaTheme="minorEastAsia" w:cstheme="minorEastAsia"/>
                <w:color w:val="auto"/>
                <w:szCs w:val="21"/>
                <w:highlight w:val="none"/>
              </w:rPr>
              <w:t>、担保机构出具的保函</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的复印件或者金融</w:t>
            </w:r>
            <w:r>
              <w:rPr>
                <w:rFonts w:hint="eastAsia" w:asciiTheme="minorEastAsia" w:hAnsiTheme="minorEastAsia" w:eastAsiaTheme="minorEastAsia" w:cstheme="minorEastAsia"/>
                <w:color w:val="auto"/>
                <w:szCs w:val="21"/>
                <w:highlight w:val="none"/>
                <w:lang w:eastAsia="zh-CN"/>
              </w:rPr>
              <w:t>机构</w:t>
            </w:r>
            <w:r>
              <w:rPr>
                <w:rFonts w:hint="eastAsia" w:asciiTheme="minorEastAsia" w:hAnsiTheme="minorEastAsia" w:eastAsiaTheme="minorEastAsia" w:cstheme="minorEastAsia"/>
                <w:color w:val="auto"/>
                <w:szCs w:val="21"/>
                <w:highlight w:val="none"/>
              </w:rPr>
              <w:t>、担保机构出具的</w:t>
            </w:r>
            <w:r>
              <w:rPr>
                <w:rFonts w:hint="eastAsia" w:asciiTheme="minorEastAsia" w:hAnsiTheme="minorEastAsia" w:eastAsiaTheme="minorEastAsia" w:cstheme="minorEastAsia"/>
                <w:color w:val="auto"/>
                <w:kern w:val="0"/>
                <w:szCs w:val="21"/>
                <w:highlight w:val="none"/>
                <w:lang w:val="en-US" w:eastAsia="zh-CN"/>
              </w:rPr>
              <w:t>电子保函</w:t>
            </w:r>
            <w:r>
              <w:rPr>
                <w:rFonts w:hint="eastAsia" w:asciiTheme="minorEastAsia" w:hAnsiTheme="minorEastAsia" w:eastAsiaTheme="minorEastAsia" w:cstheme="minorEastAsia"/>
                <w:color w:val="auto"/>
                <w:szCs w:val="21"/>
                <w:highlight w:val="none"/>
              </w:rPr>
              <w:t>作为投标保证金提交凭证，放置于商务文件中，</w:t>
            </w:r>
            <w:r>
              <w:rPr>
                <w:rFonts w:hint="eastAsia" w:asciiTheme="minorEastAsia" w:hAnsiTheme="minorEastAsia" w:eastAsiaTheme="minorEastAsia" w:cstheme="minorEastAsia"/>
                <w:b/>
                <w:color w:val="auto"/>
                <w:szCs w:val="21"/>
                <w:highlight w:val="none"/>
              </w:rPr>
              <w:t>否则</w:t>
            </w:r>
            <w:r>
              <w:rPr>
                <w:rFonts w:hint="eastAsia" w:asciiTheme="minorEastAsia" w:hAnsiTheme="minorEastAsia" w:eastAsiaTheme="minorEastAsia" w:cstheme="minorEastAsia"/>
                <w:b/>
                <w:color w:val="auto"/>
                <w:szCs w:val="21"/>
                <w:highlight w:val="none"/>
              </w:rPr>
              <w:t>作无效投标处理</w:t>
            </w:r>
            <w:r>
              <w:rPr>
                <w:rFonts w:hint="eastAsia" w:asciiTheme="minorEastAsia" w:hAnsiTheme="minorEastAsia" w:eastAsiaTheme="minorEastAsia" w:cstheme="minorEastAsia"/>
                <w:color w:val="auto"/>
                <w:szCs w:val="21"/>
                <w:highlight w:val="none"/>
              </w:rPr>
              <w:t>。投标人必须</w:t>
            </w:r>
            <w:r>
              <w:rPr>
                <w:rFonts w:hint="eastAsia" w:asciiTheme="minorEastAsia" w:hAnsiTheme="minorEastAsia" w:eastAsiaTheme="minorEastAsia" w:cstheme="minorEastAsia"/>
                <w:color w:val="auto"/>
                <w:kern w:val="0"/>
                <w:szCs w:val="21"/>
                <w:highlight w:val="none"/>
              </w:rPr>
              <w:t>在投标截止时间前</w:t>
            </w:r>
            <w:r>
              <w:rPr>
                <w:rFonts w:hint="eastAsia" w:asciiTheme="minorEastAsia" w:hAnsiTheme="minorEastAsia" w:eastAsiaTheme="minorEastAsia" w:cstheme="minorEastAsia"/>
                <w:color w:val="auto"/>
                <w:szCs w:val="21"/>
                <w:highlight w:val="none"/>
              </w:rPr>
              <w:t>将支票、汇票、本票或者金融、担保机构出具的保函</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电子保函除外</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原件提交给采购代理机构，由采购代理机构向投标人出具回执，并妥善保管。</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投标保证金指定</w:t>
            </w:r>
            <w:r>
              <w:rPr>
                <w:rFonts w:hint="eastAsia" w:asciiTheme="minorEastAsia" w:hAnsiTheme="minorEastAsia" w:eastAsiaTheme="minorEastAsia" w:cstheme="minorEastAsia"/>
                <w:color w:val="auto"/>
                <w:szCs w:val="21"/>
                <w:highlight w:val="none"/>
                <w:lang w:eastAsia="zh-CN"/>
              </w:rPr>
              <w:t>账</w:t>
            </w:r>
            <w:r>
              <w:rPr>
                <w:rFonts w:hint="eastAsia" w:asciiTheme="minorEastAsia" w:hAnsiTheme="minorEastAsia" w:eastAsiaTheme="minorEastAsia" w:cstheme="minorEastAsia"/>
                <w:color w:val="auto"/>
                <w:szCs w:val="21"/>
                <w:highlight w:val="none"/>
              </w:rPr>
              <w:t>户：详见招标公告。</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.投标人为联合体的，可以由联合体中的一方或者多方共同</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投标保证金，其</w:t>
            </w:r>
            <w:r>
              <w:rPr>
                <w:rFonts w:hint="eastAsia" w:asciiTheme="minorEastAsia" w:hAnsiTheme="minorEastAsia" w:eastAsiaTheme="minorEastAsia" w:cstheme="minorEastAsia"/>
                <w:color w:val="auto"/>
                <w:szCs w:val="21"/>
                <w:highlight w:val="none"/>
                <w:lang w:eastAsia="zh-CN"/>
              </w:rPr>
              <w:t>缴纳</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保证金对联合体各方均具有约束力。</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备注： </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 投标保证金在投标截止时间后提交的，或者不按规定</w:t>
            </w:r>
            <w:r>
              <w:rPr>
                <w:rFonts w:hint="eastAsia" w:asciiTheme="minorEastAsia" w:hAnsiTheme="minorEastAsia" w:eastAsiaTheme="minorEastAsia" w:cstheme="minorEastAsia"/>
                <w:b/>
                <w:color w:val="auto"/>
                <w:szCs w:val="21"/>
                <w:highlight w:val="none"/>
                <w:lang w:eastAsia="zh-CN"/>
              </w:rPr>
              <w:t>缴纳</w:t>
            </w:r>
            <w:r>
              <w:rPr>
                <w:rFonts w:hint="eastAsia" w:asciiTheme="minorEastAsia" w:hAnsiTheme="minorEastAsia" w:eastAsiaTheme="minorEastAsia" w:cstheme="minorEastAsia"/>
                <w:b/>
                <w:color w:val="auto"/>
                <w:szCs w:val="21"/>
                <w:highlight w:val="none"/>
              </w:rPr>
              <w:t>方式</w:t>
            </w:r>
            <w:r>
              <w:rPr>
                <w:rFonts w:hint="eastAsia" w:asciiTheme="minorEastAsia" w:hAnsiTheme="minorEastAsia" w:eastAsiaTheme="minorEastAsia" w:cstheme="minorEastAsia"/>
                <w:b/>
                <w:color w:val="auto"/>
                <w:szCs w:val="21"/>
                <w:highlight w:val="none"/>
                <w:lang w:eastAsia="zh-CN"/>
              </w:rPr>
              <w:t>缴纳</w:t>
            </w:r>
            <w:r>
              <w:rPr>
                <w:rFonts w:hint="eastAsia" w:asciiTheme="minorEastAsia" w:hAnsiTheme="minorEastAsia" w:eastAsiaTheme="minorEastAsia" w:cstheme="minorEastAsia"/>
                <w:b/>
                <w:color w:val="auto"/>
                <w:szCs w:val="21"/>
                <w:highlight w:val="none"/>
              </w:rPr>
              <w:t>的，或者未足额</w:t>
            </w:r>
            <w:r>
              <w:rPr>
                <w:rFonts w:hint="eastAsia" w:asciiTheme="minorEastAsia" w:hAnsiTheme="minorEastAsia" w:eastAsiaTheme="minorEastAsia" w:cstheme="minorEastAsia"/>
                <w:b/>
                <w:color w:val="auto"/>
                <w:szCs w:val="21"/>
                <w:highlight w:val="none"/>
                <w:lang w:eastAsia="zh-CN"/>
              </w:rPr>
              <w:t>缴纳</w:t>
            </w:r>
            <w:r>
              <w:rPr>
                <w:rFonts w:hint="eastAsia" w:asciiTheme="minorEastAsia" w:hAnsiTheme="minorEastAsia" w:eastAsiaTheme="minorEastAsia" w:cstheme="minorEastAsia"/>
                <w:b/>
                <w:color w:val="auto"/>
                <w:szCs w:val="21"/>
                <w:highlight w:val="none"/>
              </w:rPr>
              <w:t>的（包含保函额度不足的），视为无效投标保证金。</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2.投标人采用现</w:t>
            </w:r>
            <w:r>
              <w:rPr>
                <w:rFonts w:hint="eastAsia" w:asciiTheme="minorEastAsia" w:hAnsiTheme="minorEastAsia" w:eastAsiaTheme="minorEastAsia" w:cstheme="minorEastAsia"/>
                <w:b/>
                <w:color w:val="auto"/>
                <w:szCs w:val="21"/>
                <w:highlight w:val="none"/>
                <w:lang w:eastAsia="zh-CN"/>
              </w:rPr>
              <w:t>金</w:t>
            </w:r>
            <w:r>
              <w:rPr>
                <w:rFonts w:hint="eastAsia" w:asciiTheme="minorEastAsia" w:hAnsiTheme="minorEastAsia" w:eastAsiaTheme="minorEastAsia" w:cstheme="minorEastAsia"/>
                <w:b/>
                <w:color w:val="auto"/>
                <w:szCs w:val="21"/>
                <w:highlight w:val="none"/>
              </w:rPr>
              <w:t>方式或者从个人账户（自然人投标除外）转出的投标保证金，视为无效投标保证金。</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3.支票、汇票或者本票出现无效或者背书情形的，视为无效投标保证金。</w:t>
            </w:r>
          </w:p>
          <w:p>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4.保函有效期低于投标有效期的，视为无效投标保证金。</w:t>
            </w:r>
          </w:p>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Cs w:val="21"/>
                <w:highlight w:val="none"/>
              </w:rPr>
              <w:t>5.采用金融、担保机构出具保函的，必须为无条件保函，否则视为无效投标保证金</w:t>
            </w:r>
            <w:r>
              <w:rPr>
                <w:rFonts w:hint="eastAsia" w:asciiTheme="minorEastAsia" w:hAnsiTheme="minorEastAsia" w:eastAsiaTheme="minorEastAsia" w:cstheme="minorEastAsia"/>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投标文件应按报价文件、资格证明文件、商务文件、技术文件分别编制，报价文件、资格证明文件分别生</w:t>
            </w:r>
            <w:r>
              <w:rPr>
                <w:rFonts w:hint="eastAsia" w:asciiTheme="minorEastAsia" w:hAnsiTheme="minorEastAsia" w:eastAsiaTheme="minorEastAsia" w:cstheme="minorEastAsia"/>
                <w:color w:val="auto"/>
                <w:sz w:val="21"/>
                <w:szCs w:val="21"/>
                <w:highlight w:val="none"/>
                <w:lang w:eastAsia="zh-CN"/>
              </w:rPr>
              <w:t>成</w:t>
            </w:r>
            <w:r>
              <w:rPr>
                <w:rFonts w:hint="eastAsia" w:asciiTheme="minorEastAsia" w:hAnsiTheme="minorEastAsia" w:eastAsiaTheme="minorEastAsia" w:cstheme="minorEastAsia"/>
                <w:color w:val="auto"/>
                <w:sz w:val="21"/>
                <w:szCs w:val="21"/>
                <w:highlight w:val="none"/>
              </w:rPr>
              <w:t>电子文件，商务文件和技术文件按顺序合并生成电子文件。</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Cs w:val="21"/>
                <w:highlight w:val="none"/>
                <w:lang w:eastAsia="zh-CN"/>
              </w:rPr>
              <w:t>注：</w:t>
            </w:r>
            <w:r>
              <w:rPr>
                <w:rFonts w:hint="eastAsia" w:asciiTheme="minorEastAsia" w:hAnsiTheme="minorEastAsia" w:eastAsiaTheme="minorEastAsia" w:cstheme="minorEastAsia"/>
                <w:b/>
                <w:bCs/>
                <w:color w:val="auto"/>
                <w:szCs w:val="21"/>
                <w:highlight w:val="none"/>
              </w:rPr>
              <w:t>按照本</w:t>
            </w:r>
            <w:r>
              <w:rPr>
                <w:rFonts w:hint="eastAsia" w:asciiTheme="minorEastAsia" w:hAnsiTheme="minorEastAsia" w:eastAsiaTheme="minorEastAsia" w:cstheme="minorEastAsia"/>
                <w:b/>
                <w:bCs/>
                <w:color w:val="auto"/>
                <w:szCs w:val="21"/>
                <w:highlight w:val="none"/>
                <w:lang w:eastAsia="zh-CN"/>
              </w:rPr>
              <w:t>招标</w:t>
            </w:r>
            <w:r>
              <w:rPr>
                <w:rFonts w:hint="eastAsia" w:asciiTheme="minorEastAsia" w:hAnsiTheme="minorEastAsia" w:eastAsiaTheme="minorEastAsia" w:cstheme="minorEastAsia"/>
                <w:b/>
                <w:bCs/>
                <w:color w:val="auto"/>
                <w:szCs w:val="21"/>
                <w:highlight w:val="none"/>
              </w:rPr>
              <w:t>文件“</w:t>
            </w:r>
            <w:r>
              <w:rPr>
                <w:rFonts w:hint="eastAsia" w:asciiTheme="minorEastAsia" w:hAnsiTheme="minorEastAsia" w:eastAsiaTheme="minorEastAsia" w:cstheme="minorEastAsia"/>
                <w:b/>
                <w:bCs/>
                <w:color w:val="auto"/>
                <w:szCs w:val="21"/>
                <w:highlight w:val="none"/>
              </w:rPr>
              <w:t>第六章 投标文件格式</w:t>
            </w:r>
            <w:r>
              <w:rPr>
                <w:rFonts w:hint="eastAsia" w:asciiTheme="minorEastAsia" w:hAnsiTheme="minorEastAsia" w:eastAsiaTheme="minorEastAsia" w:cstheme="minorEastAsia"/>
                <w:b/>
                <w:bCs/>
                <w:color w:val="auto"/>
                <w:szCs w:val="21"/>
                <w:highlight w:val="none"/>
              </w:rPr>
              <w:t>”编写</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第</w:t>
            </w:r>
            <w:r>
              <w:rPr>
                <w:rFonts w:hint="eastAsia" w:asciiTheme="minorEastAsia" w:hAnsiTheme="minorEastAsia" w:eastAsiaTheme="minorEastAsia" w:cstheme="minorEastAsia"/>
                <w:b/>
                <w:bCs/>
                <w:color w:val="auto"/>
                <w:szCs w:val="21"/>
                <w:highlight w:val="none"/>
                <w:lang w:eastAsia="zh-CN"/>
              </w:rPr>
              <w:t>六</w:t>
            </w:r>
            <w:r>
              <w:rPr>
                <w:rFonts w:hint="eastAsia" w:asciiTheme="minorEastAsia" w:hAnsiTheme="minorEastAsia" w:eastAsiaTheme="minorEastAsia" w:cstheme="minorEastAsia"/>
                <w:b/>
                <w:bCs/>
                <w:color w:val="auto"/>
                <w:szCs w:val="21"/>
                <w:highlight w:val="none"/>
              </w:rPr>
              <w:t>章未附格式的，由</w:t>
            </w:r>
            <w:r>
              <w:rPr>
                <w:rFonts w:hint="eastAsia" w:asciiTheme="minorEastAsia" w:hAnsiTheme="minorEastAsia" w:eastAsiaTheme="minorEastAsia" w:cstheme="minorEastAsia"/>
                <w:b/>
                <w:bCs/>
                <w:color w:val="auto"/>
                <w:szCs w:val="21"/>
                <w:highlight w:val="none"/>
                <w:lang w:eastAsia="zh-CN"/>
              </w:rPr>
              <w:t>投标人</w:t>
            </w:r>
            <w:r>
              <w:rPr>
                <w:rFonts w:hint="eastAsia" w:asciiTheme="minorEastAsia" w:hAnsiTheme="minorEastAsia" w:eastAsiaTheme="minorEastAsia" w:cstheme="minorEastAsia"/>
                <w:b/>
                <w:bCs/>
                <w:color w:val="auto"/>
                <w:szCs w:val="21"/>
                <w:highlight w:val="none"/>
              </w:rPr>
              <w:t>自行拟定</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4" w:name="_21.1"/>
            <w:bookmarkEnd w:id="104"/>
            <w:r>
              <w:rPr>
                <w:rFonts w:hint="eastAsia" w:asciiTheme="minorEastAsia" w:hAnsiTheme="minorEastAsia" w:eastAsiaTheme="minorEastAsia" w:cstheme="minorEastAsia"/>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5" w:name="_23"/>
            <w:bookmarkEnd w:id="105"/>
            <w:r>
              <w:rPr>
                <w:rFonts w:hint="eastAsia" w:asciiTheme="minorEastAsia" w:hAnsiTheme="minorEastAsia" w:eastAsiaTheme="minorEastAsia" w:cstheme="minorEastAsia"/>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6" w:name="_25.3"/>
            <w:bookmarkEnd w:id="106"/>
            <w:r>
              <w:rPr>
                <w:rFonts w:hint="eastAsia" w:asciiTheme="minorEastAsia" w:hAnsiTheme="minorEastAsia" w:eastAsiaTheme="minorEastAsia" w:cstheme="minorEastAsia"/>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采购人或者采购代理机构在资格审查结束前，对投标人进行信用查询。</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在查询网站中直接截图查询记录，截图作为</w:t>
            </w:r>
            <w:r>
              <w:rPr>
                <w:rFonts w:hint="eastAsia" w:asciiTheme="minorEastAsia" w:hAnsiTheme="minorEastAsia" w:eastAsiaTheme="minorEastAsia" w:cstheme="minorEastAsia"/>
                <w:color w:val="auto"/>
                <w:szCs w:val="21"/>
                <w:highlight w:val="none"/>
                <w:lang w:val="en-US" w:eastAsia="zh-CN"/>
              </w:rPr>
              <w:t>附件</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b w:val="0"/>
                <w:bCs w:val="0"/>
                <w:color w:val="auto"/>
                <w:sz w:val="21"/>
                <w:szCs w:val="21"/>
                <w:highlight w:val="none"/>
                <w:lang w:val="en-US" w:eastAsia="zh-CN"/>
              </w:rPr>
              <w:t>广西政府采购云平台</w:t>
            </w:r>
            <w:r>
              <w:rPr>
                <w:rFonts w:hint="eastAsia" w:asciiTheme="minorEastAsia" w:hAnsiTheme="minorEastAsia" w:eastAsiaTheme="minorEastAsia" w:cstheme="minorEastAsia"/>
                <w:color w:val="auto"/>
                <w:sz w:val="21"/>
                <w:szCs w:val="21"/>
                <w:highlight w:val="none"/>
              </w:rPr>
              <w:t>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对在“信用中国”网站(www.creditchina.gov.cn) 、中国政府采购网(www.ccgp.gov.cn)被列入失信被执行人、</w:t>
            </w:r>
            <w:r>
              <w:rPr>
                <w:rFonts w:hint="eastAsia" w:asciiTheme="minorEastAsia" w:hAnsiTheme="minorEastAsia" w:eastAsiaTheme="minorEastAsia" w:cstheme="minorEastAsia"/>
                <w:color w:val="auto"/>
                <w:sz w:val="21"/>
                <w:szCs w:val="21"/>
                <w:highlight w:val="none"/>
                <w:lang w:eastAsia="zh-CN"/>
              </w:rPr>
              <w:t>重大税收违法失信主体</w:t>
            </w:r>
            <w:r>
              <w:rPr>
                <w:rFonts w:hint="eastAsia" w:asciiTheme="minorEastAsia" w:hAnsiTheme="minorEastAsia" w:eastAsiaTheme="minorEastAsia" w:cstheme="minorEastAsia"/>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7" w:name="_26"/>
            <w:bookmarkEnd w:id="107"/>
            <w:bookmarkStart w:id="108" w:name="_28.3"/>
            <w:bookmarkEnd w:id="108"/>
            <w:r>
              <w:rPr>
                <w:rFonts w:hint="eastAsia" w:asciiTheme="minorEastAsia" w:hAnsiTheme="minorEastAsia" w:eastAsiaTheme="minorEastAsia" w:cstheme="minorEastAsia"/>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综合评分法</w:t>
            </w:r>
          </w:p>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09" w:name="_29.2.2（2）"/>
            <w:bookmarkEnd w:id="109"/>
            <w:r>
              <w:rPr>
                <w:rFonts w:hint="eastAsia" w:asciiTheme="minorEastAsia" w:hAnsiTheme="minorEastAsia" w:eastAsiaTheme="minorEastAsia" w:cstheme="minorEastAsia"/>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商务条款评审中允许负偏离的条款数为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0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技术需求评审中允许负偏离的条款数为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0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确定中标人时，出现中标候选人</w:t>
            </w:r>
            <w:r>
              <w:rPr>
                <w:rFonts w:hint="eastAsia" w:asciiTheme="minorEastAsia" w:hAnsiTheme="minorEastAsia" w:eastAsiaTheme="minorEastAsia" w:cstheme="minorEastAsia"/>
                <w:color w:val="auto"/>
                <w:szCs w:val="21"/>
                <w:highlight w:val="none"/>
                <w:lang w:eastAsia="zh-CN"/>
              </w:rPr>
              <w:t>排名</w:t>
            </w:r>
            <w:r>
              <w:rPr>
                <w:rFonts w:hint="eastAsia" w:asciiTheme="minorEastAsia" w:hAnsiTheme="minorEastAsia" w:eastAsiaTheme="minorEastAsia" w:cstheme="minorEastAsia"/>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szCs w:val="21"/>
                <w:highlight w:val="none"/>
              </w:rPr>
              <w:t>采购人确定中标人时，出现中标候选人并列的情形，采购人按以下的方式确定中标人：</w:t>
            </w:r>
          </w:p>
          <w:p>
            <w:pPr>
              <w:autoSpaceDE w:val="0"/>
              <w:autoSpaceDN w:val="0"/>
              <w:snapToGrid w:val="0"/>
              <w:spacing w:line="360" w:lineRule="auto"/>
              <w:textAlignment w:val="bottom"/>
              <w:rPr>
                <w:rFonts w:hint="eastAsia" w:asciiTheme="minorEastAsia" w:hAnsiTheme="minorEastAsia" w:eastAsiaTheme="minorEastAsia" w:cstheme="minorEastAsia"/>
                <w:i/>
                <w:iCs/>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技术分</w:t>
            </w:r>
            <w:r>
              <w:rPr>
                <w:rFonts w:hint="eastAsia" w:asciiTheme="minorEastAsia" w:hAnsiTheme="minorEastAsia" w:eastAsiaTheme="minorEastAsia" w:cstheme="minorEastAsia"/>
                <w:color w:val="auto"/>
                <w:szCs w:val="21"/>
                <w:highlight w:val="none"/>
                <w:lang w:eastAsia="zh-CN"/>
              </w:rPr>
              <w:t>得分</w:t>
            </w:r>
            <w:r>
              <w:rPr>
                <w:rFonts w:hint="eastAsia" w:asciiTheme="minorEastAsia" w:hAnsiTheme="minorEastAsia" w:eastAsiaTheme="minorEastAsia" w:cstheme="minorEastAsia"/>
                <w:color w:val="auto"/>
                <w:szCs w:val="21"/>
                <w:highlight w:val="none"/>
              </w:rPr>
              <w:t>高的优先、商务分</w:t>
            </w:r>
            <w:r>
              <w:rPr>
                <w:rFonts w:hint="eastAsia" w:asciiTheme="minorEastAsia" w:hAnsiTheme="minorEastAsia" w:eastAsiaTheme="minorEastAsia" w:cstheme="minorEastAsia"/>
                <w:color w:val="auto"/>
                <w:szCs w:val="21"/>
                <w:highlight w:val="none"/>
                <w:lang w:eastAsia="zh-CN"/>
              </w:rPr>
              <w:t>得分</w:t>
            </w:r>
            <w:r>
              <w:rPr>
                <w:rFonts w:hint="eastAsia" w:asciiTheme="minorEastAsia" w:hAnsiTheme="minorEastAsia" w:eastAsiaTheme="minorEastAsia" w:cstheme="minorEastAsia"/>
                <w:color w:val="auto"/>
                <w:szCs w:val="21"/>
                <w:highlight w:val="none"/>
              </w:rPr>
              <w:t>高的优先</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顺序</w:t>
            </w:r>
            <w:r>
              <w:rPr>
                <w:rFonts w:hint="eastAsia" w:asciiTheme="minorEastAsia" w:hAnsiTheme="minorEastAsia" w:eastAsiaTheme="minorEastAsia" w:cstheme="minorEastAsia"/>
                <w:color w:val="auto"/>
                <w:szCs w:val="21"/>
                <w:highlight w:val="none"/>
                <w:lang w:eastAsia="zh-CN"/>
              </w:rPr>
              <w:t>。</w:t>
            </w:r>
          </w:p>
          <w:p>
            <w:pPr>
              <w:pStyle w:val="9"/>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highlight w:val="none"/>
              </w:rPr>
              <w:t>采取随机抽取的方式确定</w:t>
            </w:r>
            <w:r>
              <w:rPr>
                <w:rFonts w:hint="eastAsia" w:asciiTheme="minorEastAsia" w:hAnsiTheme="minorEastAsia" w:eastAsiaTheme="minorEastAsia" w:cstheme="minorEastAsia"/>
                <w:color w:val="auto"/>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10" w:name="_39.1"/>
            <w:bookmarkEnd w:id="110"/>
            <w:r>
              <w:rPr>
                <w:rFonts w:hint="eastAsia" w:asciiTheme="minorEastAsia" w:hAnsiTheme="minorEastAsia" w:eastAsiaTheme="minorEastAsia" w:cstheme="minorEastAsia"/>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pPr>
              <w:autoSpaceDE/>
              <w:autoSpaceDN/>
              <w:snapToGrid/>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b/>
                <w:bCs/>
                <w:color w:val="auto"/>
                <w:szCs w:val="21"/>
                <w:highlight w:val="none"/>
                <w:lang w:eastAsia="zh-CN"/>
              </w:rPr>
              <w:t>本项目不需要缴</w:t>
            </w:r>
            <w:r>
              <w:rPr>
                <w:rFonts w:hint="eastAsia" w:asciiTheme="minorEastAsia" w:hAnsiTheme="minorEastAsia" w:eastAsiaTheme="minorEastAsia" w:cstheme="minorEastAsia"/>
                <w:b/>
                <w:bCs/>
                <w:color w:val="auto"/>
                <w:kern w:val="0"/>
                <w:szCs w:val="21"/>
                <w:highlight w:val="none"/>
              </w:rPr>
              <w:t>纳</w:t>
            </w:r>
            <w:r>
              <w:rPr>
                <w:rFonts w:hint="eastAsia" w:asciiTheme="minorEastAsia" w:hAnsiTheme="minorEastAsia" w:eastAsiaTheme="minorEastAsia" w:cstheme="minorEastAsia"/>
                <w:b/>
                <w:bCs/>
                <w:color w:val="auto"/>
                <w:szCs w:val="21"/>
                <w:highlight w:val="none"/>
              </w:rPr>
              <w:t>履约</w:t>
            </w:r>
            <w:r>
              <w:rPr>
                <w:rFonts w:hint="eastAsia" w:asciiTheme="minorEastAsia" w:hAnsiTheme="minorEastAsia" w:eastAsiaTheme="minorEastAsia" w:cstheme="minorEastAsia"/>
                <w:b/>
                <w:bCs/>
                <w:color w:val="auto"/>
                <w:szCs w:val="21"/>
                <w:highlight w:val="none"/>
                <w:lang w:eastAsia="zh-CN"/>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11" w:name="_40.1"/>
            <w:bookmarkEnd w:id="111"/>
            <w:r>
              <w:rPr>
                <w:rFonts w:hint="eastAsia" w:asciiTheme="minorEastAsia" w:hAnsiTheme="minorEastAsia" w:eastAsiaTheme="minorEastAsia" w:cstheme="minorEastAsia"/>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委托代理人负责签订合同的，须携带</w:t>
            </w:r>
            <w:r>
              <w:rPr>
                <w:rFonts w:hint="eastAsia" w:asciiTheme="minorEastAsia" w:hAnsiTheme="minorEastAsia" w:eastAsiaTheme="minorEastAsia" w:cstheme="minorEastAsia"/>
                <w:color w:val="auto"/>
                <w:szCs w:val="21"/>
                <w:highlight w:val="none"/>
                <w:lang w:eastAsia="zh-CN"/>
              </w:rPr>
              <w:t>有效的法定代表人</w:t>
            </w:r>
            <w:r>
              <w:rPr>
                <w:rFonts w:hint="eastAsia" w:asciiTheme="minorEastAsia" w:hAnsiTheme="minorEastAsia" w:eastAsiaTheme="minorEastAsia" w:cstheme="minorEastAsia"/>
                <w:color w:val="auto"/>
                <w:szCs w:val="21"/>
                <w:highlight w:val="none"/>
              </w:rPr>
              <w:t>授权委托书及</w:t>
            </w:r>
            <w:r>
              <w:rPr>
                <w:rFonts w:hint="eastAsia" w:asciiTheme="minorEastAsia" w:hAnsiTheme="minorEastAsia" w:eastAsiaTheme="minorEastAsia" w:cstheme="minorEastAsia"/>
                <w:color w:val="auto"/>
                <w:szCs w:val="21"/>
                <w:highlight w:val="none"/>
                <w:lang w:eastAsia="zh-CN"/>
              </w:rPr>
              <w:t>其</w:t>
            </w:r>
            <w:r>
              <w:rPr>
                <w:rFonts w:hint="eastAsia" w:asciiTheme="minorEastAsia" w:hAnsiTheme="minorEastAsia" w:eastAsiaTheme="minorEastAsia" w:cstheme="minorEastAsia"/>
                <w:color w:val="auto"/>
                <w:szCs w:val="21"/>
                <w:highlight w:val="none"/>
              </w:rPr>
              <w:t>委托代理人身份证原件等</w:t>
            </w:r>
            <w:r>
              <w:rPr>
                <w:rFonts w:hint="eastAsia" w:asciiTheme="minorEastAsia" w:hAnsiTheme="minorEastAsia" w:eastAsiaTheme="minorEastAsia" w:cstheme="minorEastAsia"/>
                <w:color w:val="auto"/>
                <w:szCs w:val="21"/>
                <w:highlight w:val="none"/>
                <w:lang w:eastAsia="zh-CN"/>
              </w:rPr>
              <w:t>其他</w:t>
            </w:r>
            <w:r>
              <w:rPr>
                <w:rFonts w:hint="eastAsia" w:asciiTheme="minorEastAsia" w:hAnsiTheme="minorEastAsia" w:eastAsiaTheme="minorEastAsia" w:cstheme="minorEastAsia"/>
                <w:color w:val="auto"/>
                <w:szCs w:val="21"/>
                <w:highlight w:val="none"/>
              </w:rPr>
              <w:t>资格证件。</w:t>
            </w:r>
          </w:p>
          <w:p>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法定代表人负责签订合同的，须携带法定代表人身份证明原件及身份证原件等</w:t>
            </w:r>
            <w:r>
              <w:rPr>
                <w:rFonts w:hint="eastAsia" w:asciiTheme="minorEastAsia" w:hAnsiTheme="minorEastAsia" w:eastAsiaTheme="minorEastAsia" w:cstheme="minorEastAsia"/>
                <w:color w:val="auto"/>
                <w:sz w:val="21"/>
                <w:szCs w:val="21"/>
                <w:highlight w:val="none"/>
                <w:lang w:eastAsia="zh-CN"/>
              </w:rPr>
              <w:t>其他</w:t>
            </w:r>
            <w:r>
              <w:rPr>
                <w:rFonts w:hint="eastAsia" w:asciiTheme="minorEastAsia" w:hAnsiTheme="minorEastAsia" w:eastAsiaTheme="minorEastAsia" w:cstheme="minorEastAsia"/>
                <w:color w:val="auto"/>
                <w:sz w:val="21"/>
                <w:szCs w:val="21"/>
                <w:highlight w:val="none"/>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名称：</w:t>
            </w:r>
            <w:r>
              <w:rPr>
                <w:rFonts w:hint="eastAsia" w:asciiTheme="minorEastAsia" w:hAnsiTheme="minorEastAsia" w:eastAsiaTheme="minorEastAsia" w:cstheme="minorEastAsia"/>
                <w:color w:val="auto"/>
                <w:szCs w:val="21"/>
                <w:highlight w:val="none"/>
                <w:lang w:val="en-US" w:eastAsia="zh-CN"/>
              </w:rPr>
              <w:t>广西壮族自治区退役军人事务厅</w:t>
            </w:r>
          </w:p>
          <w:p>
            <w:pPr>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联系电话：0771-2869242 </w:t>
            </w:r>
            <w:r>
              <w:rPr>
                <w:rFonts w:hint="eastAsia" w:asciiTheme="minorEastAsia" w:hAnsiTheme="minorEastAsia" w:eastAsiaTheme="minorEastAsia" w:cstheme="minorEastAsia"/>
                <w:color w:val="auto"/>
                <w:szCs w:val="21"/>
                <w:highlight w:val="none"/>
                <w:lang w:val="en-US" w:eastAsia="zh-CN"/>
              </w:rPr>
              <w:t xml:space="preserve"> </w:t>
            </w:r>
          </w:p>
          <w:p>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通讯地址：南宁市兴宁区民主路49号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w:t>
            </w:r>
          </w:p>
          <w:p>
            <w:pPr>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名称：</w:t>
            </w:r>
            <w:r>
              <w:rPr>
                <w:rFonts w:hint="eastAsia" w:asciiTheme="minorEastAsia" w:hAnsiTheme="minorEastAsia" w:eastAsiaTheme="minorEastAsia" w:cstheme="minorEastAsia"/>
                <w:i w:val="0"/>
                <w:iCs w:val="0"/>
                <w:color w:val="auto"/>
                <w:szCs w:val="21"/>
                <w:highlight w:val="none"/>
                <w:lang w:eastAsia="zh-CN"/>
              </w:rPr>
              <w:t>广西科联招标中心有限公司</w:t>
            </w:r>
          </w:p>
          <w:p>
            <w:pPr>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联系电话：0771-3486228 </w:t>
            </w:r>
            <w:r>
              <w:rPr>
                <w:rFonts w:hint="eastAsia" w:asciiTheme="minorEastAsia" w:hAnsiTheme="minorEastAsia" w:eastAsiaTheme="minorEastAsia" w:cstheme="minorEastAsia"/>
                <w:color w:val="auto"/>
                <w:szCs w:val="21"/>
                <w:highlight w:val="none"/>
                <w:lang w:val="en-US" w:eastAsia="zh-CN"/>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通讯地址：广西科联招标中心有限公司103室（广西南宁市大学东路170号广西农业机械研究院内）</w:t>
            </w:r>
            <w:r>
              <w:rPr>
                <w:rFonts w:hint="eastAsia" w:asciiTheme="minorEastAsia" w:hAnsiTheme="minorEastAsia" w:eastAsiaTheme="minorEastAsia" w:cs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质疑期内每个工作日（北京时间）</w:t>
            </w:r>
            <w:r>
              <w:rPr>
                <w:rFonts w:hint="eastAsia" w:asciiTheme="minorEastAsia" w:hAnsiTheme="minorEastAsia" w:eastAsiaTheme="minorEastAsia" w:cstheme="minorEastAsia"/>
                <w:color w:val="auto"/>
                <w:sz w:val="21"/>
                <w:szCs w:val="21"/>
                <w:highlight w:val="none"/>
                <w:lang w:eastAsia="zh-CN"/>
              </w:rPr>
              <w:t>上午</w:t>
            </w:r>
            <w:r>
              <w:rPr>
                <w:rFonts w:hint="eastAsia" w:asciiTheme="minorEastAsia" w:hAnsiTheme="minorEastAsia" w:eastAsiaTheme="minorEastAsia" w:cstheme="minorEastAsia"/>
                <w:color w:val="auto"/>
                <w:sz w:val="21"/>
                <w:szCs w:val="21"/>
                <w:highlight w:val="none"/>
                <w:u w:val="single"/>
              </w:rPr>
              <w:t>8</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00</w:t>
            </w:r>
            <w:r>
              <w:rPr>
                <w:rFonts w:hint="eastAsia" w:asciiTheme="minorEastAsia" w:hAnsiTheme="minorEastAsia" w:eastAsiaTheme="minorEastAsia" w:cstheme="minorEastAsia"/>
                <w:color w:val="auto"/>
                <w:sz w:val="21"/>
                <w:szCs w:val="21"/>
                <w:highlight w:val="none"/>
              </w:rPr>
              <w:t>分到</w:t>
            </w:r>
            <w:r>
              <w:rPr>
                <w:rFonts w:hint="eastAsia" w:asciiTheme="minorEastAsia" w:hAnsiTheme="minorEastAsia" w:eastAsiaTheme="minorEastAsia" w:cstheme="minorEastAsia"/>
                <w:color w:val="auto"/>
                <w:sz w:val="21"/>
                <w:szCs w:val="21"/>
                <w:highlight w:val="none"/>
                <w:u w:val="single"/>
              </w:rPr>
              <w:t>12</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00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下午</w:t>
            </w:r>
            <w:r>
              <w:rPr>
                <w:rFonts w:hint="eastAsia" w:asciiTheme="minorEastAsia" w:hAnsiTheme="minorEastAsia" w:eastAsiaTheme="minorEastAsia" w:cstheme="minorEastAsia"/>
                <w:color w:val="auto"/>
                <w:sz w:val="21"/>
                <w:szCs w:val="21"/>
                <w:highlight w:val="none"/>
                <w:u w:val="single"/>
              </w:rPr>
              <w:t>15</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00</w:t>
            </w:r>
            <w:r>
              <w:rPr>
                <w:rFonts w:hint="eastAsia" w:asciiTheme="minorEastAsia" w:hAnsiTheme="minorEastAsia" w:eastAsiaTheme="minorEastAsia" w:cstheme="minorEastAsia"/>
                <w:color w:val="auto"/>
                <w:sz w:val="21"/>
                <w:szCs w:val="21"/>
                <w:highlight w:val="none"/>
              </w:rPr>
              <w:t>分到</w:t>
            </w:r>
            <w:r>
              <w:rPr>
                <w:rFonts w:hint="eastAsia" w:asciiTheme="minorEastAsia" w:hAnsiTheme="minorEastAsia" w:eastAsiaTheme="minorEastAsia" w:cstheme="minorEastAsia"/>
                <w:color w:val="auto"/>
                <w:sz w:val="21"/>
                <w:szCs w:val="21"/>
                <w:highlight w:val="none"/>
                <w:u w:val="single"/>
              </w:rPr>
              <w:t>18</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00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1.受理方式：纸质方式受理，投诉书正、副本（经过质疑的事项才可投诉）。</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2.通讯方式</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名称：广西壮族自治区财政厅政府采购监督管理处</w:t>
            </w:r>
          </w:p>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地址：南宁市桃源路69号广西财政大厦7楼</w:t>
            </w:r>
          </w:p>
          <w:p>
            <w:pPr>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联系电话：0771-5331544/5331539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bookmarkStart w:id="112" w:name="_41"/>
            <w:bookmarkEnd w:id="112"/>
            <w:bookmarkStart w:id="113" w:name="_42"/>
            <w:bookmarkEnd w:id="113"/>
            <w:r>
              <w:rPr>
                <w:rFonts w:hint="eastAsia" w:asciiTheme="minorEastAsia" w:hAnsiTheme="minorEastAsia" w:eastAsiaTheme="minorEastAsia" w:cstheme="minorEastAsia"/>
                <w:color w:val="auto"/>
                <w:sz w:val="21"/>
                <w:szCs w:val="21"/>
                <w:highlight w:val="none"/>
              </w:rPr>
              <w:t>采购代理</w:t>
            </w:r>
            <w:r>
              <w:rPr>
                <w:rFonts w:hint="eastAsia" w:asciiTheme="minorEastAsia" w:hAnsiTheme="minorEastAsia" w:eastAsiaTheme="minorEastAsia" w:cstheme="minorEastAsia"/>
                <w:color w:val="auto"/>
                <w:sz w:val="21"/>
                <w:szCs w:val="21"/>
                <w:highlight w:val="none"/>
                <w:lang w:eastAsia="zh-CN"/>
              </w:rPr>
              <w:t>服务</w:t>
            </w:r>
            <w:r>
              <w:rPr>
                <w:rFonts w:hint="eastAsia" w:asciiTheme="minorEastAsia" w:hAnsiTheme="minorEastAsia" w:eastAsiaTheme="minorEastAsia" w:cstheme="minorEastAsia"/>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代理服务费由</w:t>
            </w:r>
            <w:r>
              <w:rPr>
                <w:rFonts w:hint="eastAsia" w:asciiTheme="minorEastAsia" w:hAnsiTheme="minorEastAsia" w:eastAsiaTheme="minorEastAsia" w:cstheme="minorEastAsia"/>
                <w:color w:val="auto"/>
                <w:sz w:val="21"/>
                <w:szCs w:val="21"/>
                <w:highlight w:val="none"/>
                <w:u w:val="single"/>
              </w:rPr>
              <w:t>中标人</w:t>
            </w: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sz w:val="21"/>
                <w:highlight w:val="none"/>
                <w:lang w:val="en-US" w:eastAsia="zh-CN"/>
              </w:rPr>
              <w:t>签订合同</w:t>
            </w:r>
            <w:r>
              <w:rPr>
                <w:rFonts w:hint="eastAsia" w:asciiTheme="minorEastAsia" w:hAnsiTheme="minorEastAsia" w:eastAsiaTheme="minorEastAsia" w:cstheme="minorEastAsia"/>
                <w:color w:val="auto"/>
                <w:highlight w:val="none"/>
              </w:rPr>
              <w:t>前，</w:t>
            </w:r>
            <w:r>
              <w:rPr>
                <w:rFonts w:hint="eastAsia" w:asciiTheme="minorEastAsia" w:hAnsiTheme="minorEastAsia" w:eastAsiaTheme="minorEastAsia" w:cstheme="minorEastAsia"/>
                <w:color w:val="auto"/>
                <w:sz w:val="21"/>
                <w:highlight w:val="none"/>
                <w:lang w:val="en-US" w:eastAsia="zh-CN"/>
              </w:rPr>
              <w:t>以银行转账、电汇等方式</w:t>
            </w:r>
            <w:r>
              <w:rPr>
                <w:rFonts w:hint="eastAsia" w:asciiTheme="minorEastAsia" w:hAnsiTheme="minorEastAsia" w:eastAsiaTheme="minorEastAsia" w:cstheme="minorEastAsia"/>
                <w:color w:val="auto"/>
                <w:highlight w:val="none"/>
              </w:rPr>
              <w:t>一次性向采购代理机构支付</w:t>
            </w:r>
            <w:r>
              <w:rPr>
                <w:rFonts w:hint="eastAsia" w:asciiTheme="minorEastAsia" w:hAnsiTheme="minorEastAsia" w:eastAsiaTheme="minorEastAsia" w:cstheme="minorEastAsia"/>
                <w:color w:val="auto"/>
                <w:sz w:val="21"/>
                <w:szCs w:val="21"/>
                <w:highlight w:val="none"/>
              </w:rPr>
              <w:t>。</w:t>
            </w:r>
          </w:p>
          <w:p>
            <w:pPr>
              <w:pStyle w:val="13"/>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□采购人支付</w:t>
            </w:r>
            <w:r>
              <w:rPr>
                <w:rFonts w:hint="eastAsia" w:asciiTheme="minorEastAsia" w:hAnsiTheme="minorEastAsia" w:eastAsiaTheme="minorEastAsia" w:cstheme="minorEastAsia"/>
                <w:color w:val="auto"/>
                <w:highlight w:val="none"/>
                <w:lang w:eastAsia="zh-CN"/>
              </w:rPr>
              <w:t>：</w:t>
            </w:r>
          </w:p>
          <w:p>
            <w:pPr>
              <w:pStyle w:val="13"/>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□本项目不收取</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Cs w:val="20"/>
                <w:highlight w:val="none"/>
                <w:lang w:eastAsia="zh-CN"/>
              </w:rPr>
            </w:pPr>
            <w:r>
              <w:rPr>
                <w:rFonts w:hint="eastAsia" w:asciiTheme="minorEastAsia" w:hAnsiTheme="minorEastAsia" w:eastAsiaTheme="minorEastAsia" w:cstheme="minorEastAsia"/>
                <w:color w:val="auto"/>
                <w:szCs w:val="20"/>
                <w:highlight w:val="none"/>
                <w:lang w:eastAsia="zh-CN"/>
              </w:rPr>
              <w:t>☑</w:t>
            </w:r>
            <w:r>
              <w:rPr>
                <w:rFonts w:hint="eastAsia" w:asciiTheme="minorEastAsia" w:hAnsiTheme="minorEastAsia" w:eastAsiaTheme="minorEastAsia" w:cstheme="minorEastAsia"/>
                <w:color w:val="auto"/>
                <w:szCs w:val="20"/>
                <w:highlight w:val="none"/>
              </w:rPr>
              <w:t>以</w:t>
            </w:r>
            <w:r>
              <w:rPr>
                <w:rFonts w:hint="eastAsia" w:asciiTheme="minorEastAsia" w:hAnsiTheme="minorEastAsia" w:eastAsiaTheme="minorEastAsia" w:cstheme="minorEastAsia"/>
                <w:color w:val="auto"/>
                <w:szCs w:val="20"/>
                <w:highlight w:val="none"/>
              </w:rPr>
              <w:t>分标</w:t>
            </w:r>
            <w:r>
              <w:rPr>
                <w:rFonts w:hint="eastAsia" w:asciiTheme="minorEastAsia" w:hAnsiTheme="minorEastAsia" w:eastAsiaTheme="minorEastAsia" w:cstheme="minorEastAsia"/>
                <w:color w:val="auto"/>
                <w:szCs w:val="20"/>
                <w:highlight w:val="none"/>
              </w:rPr>
              <w:t>（</w:t>
            </w:r>
            <w:r>
              <w:rPr>
                <w:rFonts w:hint="eastAsia" w:asciiTheme="minorEastAsia" w:hAnsiTheme="minorEastAsia" w:eastAsiaTheme="minorEastAsia" w:cstheme="minorEastAsia"/>
                <w:color w:val="auto"/>
                <w:szCs w:val="20"/>
                <w:highlight w:val="none"/>
                <w:lang w:eastAsia="zh-CN"/>
              </w:rPr>
              <w:t>☑</w:t>
            </w:r>
            <w:r>
              <w:rPr>
                <w:rFonts w:hint="eastAsia" w:asciiTheme="minorEastAsia" w:hAnsiTheme="minorEastAsia" w:eastAsiaTheme="minorEastAsia" w:cstheme="minorEastAsia"/>
                <w:color w:val="auto"/>
                <w:szCs w:val="20"/>
                <w:highlight w:val="none"/>
              </w:rPr>
              <w:t>中标金额/□采购预算/□暂定中标金额/□其他</w:t>
            </w:r>
            <w:r>
              <w:rPr>
                <w:rFonts w:hint="eastAsia" w:asciiTheme="minorEastAsia" w:hAnsiTheme="minorEastAsia" w:eastAsiaTheme="minorEastAsia" w:cstheme="minorEastAsia"/>
                <w:color w:val="auto"/>
                <w:szCs w:val="20"/>
                <w:highlight w:val="none"/>
                <w:u w:val="single"/>
              </w:rPr>
              <w:t xml:space="preserve">   </w:t>
            </w:r>
            <w:r>
              <w:rPr>
                <w:rFonts w:hint="eastAsia" w:asciiTheme="minorEastAsia" w:hAnsiTheme="minorEastAsia" w:eastAsiaTheme="minorEastAsia" w:cstheme="minorEastAsia"/>
                <w:color w:val="auto"/>
                <w:szCs w:val="20"/>
                <w:highlight w:val="none"/>
              </w:rPr>
              <w:t>）为计费额，按本须知正文第40.2条规定的收费计算标准（</w:t>
            </w:r>
            <w:r>
              <w:rPr>
                <w:rFonts w:hint="eastAsia" w:asciiTheme="minorEastAsia" w:hAnsiTheme="minorEastAsia" w:eastAsiaTheme="minorEastAsia" w:cstheme="minorEastAsia"/>
                <w:color w:val="auto"/>
                <w:szCs w:val="20"/>
                <w:highlight w:val="none"/>
                <w:lang w:eastAsia="zh-CN"/>
              </w:rPr>
              <w:t>服务</w:t>
            </w:r>
            <w:r>
              <w:rPr>
                <w:rFonts w:hint="eastAsia" w:asciiTheme="minorEastAsia" w:hAnsiTheme="minorEastAsia" w:eastAsiaTheme="minorEastAsia" w:cstheme="minorEastAsia"/>
                <w:color w:val="auto"/>
                <w:szCs w:val="20"/>
                <w:highlight w:val="none"/>
              </w:rPr>
              <w:t>类）采用差额定率累进法计算出收费基准价格，采购代理收费以（</w:t>
            </w:r>
            <w:r>
              <w:rPr>
                <w:rFonts w:hint="eastAsia" w:asciiTheme="minorEastAsia" w:hAnsiTheme="minorEastAsia" w:eastAsiaTheme="minorEastAsia" w:cstheme="minorEastAsia"/>
                <w:color w:val="auto"/>
                <w:szCs w:val="20"/>
                <w:highlight w:val="none"/>
                <w:lang w:eastAsia="zh-CN"/>
              </w:rPr>
              <w:t>☑</w:t>
            </w:r>
            <w:r>
              <w:rPr>
                <w:rFonts w:hint="eastAsia" w:asciiTheme="minorEastAsia" w:hAnsiTheme="minorEastAsia" w:eastAsiaTheme="minorEastAsia" w:cstheme="minorEastAsia"/>
                <w:color w:val="auto"/>
                <w:szCs w:val="20"/>
                <w:highlight w:val="none"/>
              </w:rPr>
              <w:t>收费基准价格/□收费基准价格下浮</w:t>
            </w:r>
            <w:r>
              <w:rPr>
                <w:rFonts w:hint="eastAsia" w:asciiTheme="minorEastAsia" w:hAnsiTheme="minorEastAsia" w:eastAsiaTheme="minorEastAsia" w:cstheme="minorEastAsia"/>
                <w:color w:val="auto"/>
                <w:szCs w:val="20"/>
                <w:highlight w:val="none"/>
                <w:u w:val="single"/>
              </w:rPr>
              <w:t xml:space="preserve">  %</w:t>
            </w:r>
            <w:r>
              <w:rPr>
                <w:rFonts w:hint="eastAsia" w:asciiTheme="minorEastAsia" w:hAnsiTheme="minorEastAsia" w:eastAsiaTheme="minorEastAsia" w:cstheme="minorEastAsia"/>
                <w:color w:val="auto"/>
                <w:szCs w:val="20"/>
                <w:highlight w:val="none"/>
              </w:rPr>
              <w:t>/□收费基准价格上浮</w:t>
            </w:r>
            <w:r>
              <w:rPr>
                <w:rFonts w:hint="eastAsia" w:asciiTheme="minorEastAsia" w:hAnsiTheme="minorEastAsia" w:eastAsiaTheme="minorEastAsia" w:cstheme="minorEastAsia"/>
                <w:color w:val="auto"/>
                <w:szCs w:val="20"/>
                <w:highlight w:val="none"/>
                <w:u w:val="single"/>
              </w:rPr>
              <w:t xml:space="preserve">   %</w:t>
            </w:r>
            <w:r>
              <w:rPr>
                <w:rFonts w:hint="eastAsia" w:asciiTheme="minorEastAsia" w:hAnsiTheme="minorEastAsia" w:eastAsiaTheme="minorEastAsia" w:cstheme="minorEastAsia"/>
                <w:color w:val="auto"/>
                <w:szCs w:val="20"/>
                <w:highlight w:val="none"/>
              </w:rPr>
              <w:t>）收取。如</w:t>
            </w:r>
            <w:r>
              <w:rPr>
                <w:rFonts w:hint="eastAsia" w:asciiTheme="minorEastAsia" w:hAnsiTheme="minorEastAsia" w:eastAsiaTheme="minorEastAsia" w:cstheme="minorEastAsia"/>
                <w:color w:val="auto"/>
                <w:szCs w:val="20"/>
                <w:highlight w:val="none"/>
                <w:lang w:val="en-US" w:eastAsia="zh-CN"/>
              </w:rPr>
              <w:t>单个分标</w:t>
            </w:r>
            <w:r>
              <w:rPr>
                <w:rFonts w:hint="eastAsia" w:asciiTheme="minorEastAsia" w:hAnsiTheme="minorEastAsia" w:eastAsiaTheme="minorEastAsia" w:cstheme="minorEastAsia"/>
                <w:color w:val="auto"/>
                <w:szCs w:val="20"/>
                <w:highlight w:val="none"/>
              </w:rPr>
              <w:t>代理服务费不足陆仟元的，按人民币陆仟元收取</w:t>
            </w:r>
            <w:r>
              <w:rPr>
                <w:rFonts w:hint="eastAsia" w:asciiTheme="minorEastAsia" w:hAnsiTheme="minorEastAsia" w:eastAsiaTheme="minorEastAsia" w:cstheme="minorEastAsia"/>
                <w:color w:val="auto"/>
                <w:szCs w:val="20"/>
                <w:highlight w:val="none"/>
                <w:lang w:eastAsia="zh-CN"/>
              </w:rPr>
              <w:t>。</w:t>
            </w:r>
          </w:p>
          <w:p>
            <w:pPr>
              <w:pStyle w:val="13"/>
              <w:snapToGrid w:val="0"/>
              <w:spacing w:line="360" w:lineRule="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Cs w:val="20"/>
                <w:highlight w:val="none"/>
                <w:lang w:eastAsia="zh-CN"/>
              </w:rPr>
              <w:t>□</w:t>
            </w:r>
            <w:r>
              <w:rPr>
                <w:rFonts w:hint="eastAsia" w:asciiTheme="minorEastAsia" w:hAnsiTheme="minorEastAsia" w:eastAsiaTheme="minorEastAsia" w:cstheme="minorEastAsia"/>
                <w:color w:val="auto"/>
                <w:szCs w:val="20"/>
                <w:highlight w:val="none"/>
              </w:rPr>
              <w:t>固定采购代理收费：</w:t>
            </w:r>
            <w:r>
              <w:rPr>
                <w:rFonts w:hint="eastAsia" w:asciiTheme="minorEastAsia" w:hAnsiTheme="minorEastAsia" w:eastAsiaTheme="minorEastAsia" w:cstheme="minorEastAsia"/>
                <w:color w:val="auto"/>
                <w:szCs w:val="20"/>
                <w:highlight w:val="none"/>
                <w:u w:val="single"/>
                <w:lang w:eastAsia="zh-CN"/>
              </w:rPr>
              <w:t xml:space="preserve"> </w:t>
            </w:r>
            <w:r>
              <w:rPr>
                <w:rFonts w:hint="eastAsia" w:asciiTheme="minorEastAsia" w:hAnsiTheme="minorEastAsia" w:eastAsiaTheme="minorEastAsia" w:cstheme="minorEastAsia"/>
                <w:color w:val="auto"/>
                <w:szCs w:val="20"/>
                <w:highlight w:val="none"/>
                <w:u w:val="single"/>
                <w:lang w:val="en-US" w:eastAsia="zh-CN"/>
              </w:rPr>
              <w:t xml:space="preserve">          </w:t>
            </w:r>
            <w:r>
              <w:rPr>
                <w:rFonts w:hint="eastAsia" w:asciiTheme="minorEastAsia" w:hAnsiTheme="minorEastAsia" w:eastAsiaTheme="minorEastAsia" w:cstheme="minorEastAsia"/>
                <w:color w:val="auto"/>
                <w:szCs w:val="20"/>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Theme="minorEastAsia" w:hAnsiTheme="minorEastAsia" w:eastAsiaTheme="minorEastAsia" w:cstheme="minorEastAsia"/>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开户名称：广西科联招标中心有限公司</w:t>
            </w:r>
          </w:p>
          <w:p>
            <w:pPr>
              <w:pStyle w:val="13"/>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开户银行：中国工商银行南宁市高新科技支行</w:t>
            </w:r>
          </w:p>
          <w:p>
            <w:pPr>
              <w:pStyle w:val="13"/>
              <w:snapToGri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银行账号：2102111229300032105</w:t>
            </w:r>
          </w:p>
          <w:p>
            <w:pPr>
              <w:pStyle w:val="13"/>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开户行行号：102611011101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解释：</w:t>
            </w:r>
            <w:r>
              <w:rPr>
                <w:rFonts w:hint="eastAsia" w:asciiTheme="minorEastAsia" w:hAnsiTheme="minorEastAsia" w:eastAsiaTheme="minorEastAsia" w:cstheme="minorEastAsia"/>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Theme="minorEastAsia" w:hAnsiTheme="minorEastAsia" w:eastAsiaTheme="minorEastAsia" w:cstheme="minorEastAsia"/>
                <w:color w:val="auto"/>
                <w:sz w:val="21"/>
                <w:szCs w:val="21"/>
                <w:highlight w:val="none"/>
                <w:lang w:eastAsia="zh-CN"/>
              </w:rPr>
              <w:t>和</w:t>
            </w:r>
            <w:r>
              <w:rPr>
                <w:rFonts w:hint="eastAsia" w:asciiTheme="minorEastAsia" w:hAnsiTheme="minorEastAsia" w:eastAsiaTheme="minorEastAsia" w:cstheme="minorEastAsia"/>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heme="minorEastAsia" w:hAnsiTheme="minorEastAsia" w:eastAsiaTheme="minorEastAsia" w:cstheme="minorEastAsia"/>
                <w:b/>
                <w:color w:val="auto"/>
                <w:sz w:val="21"/>
                <w:szCs w:val="21"/>
                <w:highlight w:val="none"/>
              </w:rPr>
              <w:t>，由采购人或者采购代理机构负责解释。</w:t>
            </w:r>
          </w:p>
          <w:p>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法律责任：</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本采购文件根据《中华人民共和国政府采购法》、《中华人民共和国民法典》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《中华人民共和国政府采购法实施条例》、《</w:t>
            </w:r>
            <w:r>
              <w:rPr>
                <w:rFonts w:hint="eastAsia" w:asciiTheme="minorEastAsia" w:hAnsiTheme="minorEastAsia" w:eastAsiaTheme="minorEastAsia" w:cstheme="minorEastAsia"/>
                <w:color w:val="auto"/>
                <w:szCs w:val="21"/>
                <w:highlight w:val="none"/>
              </w:rPr>
              <w:t>政府采购货物和服务招标投标管理办法</w:t>
            </w:r>
            <w:r>
              <w:rPr>
                <w:rFonts w:hint="eastAsia" w:asciiTheme="minorEastAsia" w:hAnsiTheme="minorEastAsia" w:eastAsiaTheme="minorEastAsia" w:cstheme="minorEastAsia"/>
                <w:color w:val="auto"/>
                <w:sz w:val="21"/>
                <w:szCs w:val="21"/>
                <w:highlight w:val="none"/>
              </w:rPr>
              <w:t>》等有关法律、法规编制，参与本项目的</w:t>
            </w:r>
            <w:r>
              <w:rPr>
                <w:rFonts w:hint="eastAsia" w:asciiTheme="minorEastAsia" w:hAnsiTheme="minorEastAsia" w:eastAsiaTheme="minorEastAsia" w:cstheme="minorEastAsia"/>
                <w:color w:val="auto"/>
                <w:sz w:val="21"/>
                <w:szCs w:val="21"/>
                <w:highlight w:val="none"/>
              </w:rPr>
              <w:t>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ind w:firstLine="42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1.本</w:t>
            </w:r>
            <w:r>
              <w:rPr>
                <w:rFonts w:hint="eastAsia" w:asciiTheme="minorEastAsia" w:hAnsiTheme="minorEastAsia" w:eastAsiaTheme="minorEastAsia" w:cstheme="minorEastAsia"/>
                <w:color w:val="auto"/>
                <w:kern w:val="2"/>
                <w:szCs w:val="21"/>
                <w:highlight w:val="none"/>
                <w:lang w:eastAsia="zh-CN"/>
              </w:rPr>
              <w:t>招标</w:t>
            </w:r>
            <w:r>
              <w:rPr>
                <w:rFonts w:hint="eastAsia" w:asciiTheme="minorEastAsia" w:hAnsiTheme="minorEastAsia" w:eastAsiaTheme="minorEastAsia" w:cstheme="minorEastAsia"/>
                <w:color w:val="auto"/>
                <w:kern w:val="2"/>
                <w:szCs w:val="21"/>
                <w:highlight w:val="none"/>
              </w:rPr>
              <w:t>文件中描述</w:t>
            </w:r>
            <w:r>
              <w:rPr>
                <w:rFonts w:hint="eastAsia" w:asciiTheme="minorEastAsia" w:hAnsiTheme="minorEastAsia" w:eastAsiaTheme="minorEastAsia" w:cstheme="minorEastAsia"/>
                <w:color w:val="auto"/>
                <w:kern w:val="2"/>
                <w:szCs w:val="21"/>
                <w:highlight w:val="none"/>
                <w:lang w:eastAsia="zh-CN"/>
              </w:rPr>
              <w:t>投标人</w:t>
            </w:r>
            <w:r>
              <w:rPr>
                <w:rFonts w:hint="eastAsia" w:asciiTheme="minorEastAsia" w:hAnsiTheme="minorEastAsia" w:eastAsiaTheme="minorEastAsia" w:cstheme="minorEastAsia"/>
                <w:color w:val="auto"/>
                <w:kern w:val="2"/>
                <w:szCs w:val="21"/>
                <w:highlight w:val="none"/>
              </w:rPr>
              <w:t>的“公章”是指根据我国对公章的管理规定，用投标人法定主体行为名称制作的</w:t>
            </w:r>
            <w:r>
              <w:rPr>
                <w:rFonts w:hint="eastAsia" w:asciiTheme="minorEastAsia" w:hAnsiTheme="minorEastAsia" w:eastAsiaTheme="minorEastAsia" w:cstheme="minorEastAsia"/>
                <w:color w:val="auto"/>
                <w:kern w:val="2"/>
                <w:szCs w:val="21"/>
                <w:highlight w:val="none"/>
                <w:lang w:eastAsia="zh-CN"/>
              </w:rPr>
              <w:t>实物</w:t>
            </w:r>
            <w:r>
              <w:rPr>
                <w:rFonts w:hint="eastAsia" w:asciiTheme="minorEastAsia" w:hAnsiTheme="minorEastAsia" w:eastAsiaTheme="minorEastAsia" w:cstheme="minorEastAsia"/>
                <w:color w:val="auto"/>
                <w:kern w:val="2"/>
                <w:szCs w:val="21"/>
                <w:highlight w:val="none"/>
              </w:rPr>
              <w:t>印章</w:t>
            </w:r>
            <w:r>
              <w:rPr>
                <w:rFonts w:hint="eastAsia" w:asciiTheme="minorEastAsia" w:hAnsiTheme="minorEastAsia" w:eastAsiaTheme="minorEastAsia" w:cstheme="minorEastAsia"/>
                <w:color w:val="auto"/>
                <w:kern w:val="2"/>
                <w:szCs w:val="21"/>
                <w:highlight w:val="none"/>
                <w:lang w:eastAsia="zh-CN"/>
              </w:rPr>
              <w:t>或投标人</w:t>
            </w:r>
            <w:r>
              <w:rPr>
                <w:rFonts w:hint="eastAsia" w:asciiTheme="minorEastAsia" w:hAnsiTheme="minorEastAsia" w:eastAsiaTheme="minorEastAsia" w:cstheme="minorEastAsia"/>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9"/>
              <w:spacing w:line="360" w:lineRule="auto"/>
              <w:ind w:firstLine="42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2.本</w:t>
            </w:r>
            <w:r>
              <w:rPr>
                <w:rFonts w:hint="eastAsia" w:asciiTheme="minorEastAsia" w:hAnsiTheme="minorEastAsia" w:eastAsiaTheme="minorEastAsia" w:cstheme="minorEastAsia"/>
                <w:color w:val="auto"/>
                <w:kern w:val="2"/>
                <w:szCs w:val="21"/>
                <w:highlight w:val="none"/>
                <w:lang w:eastAsia="zh-CN"/>
              </w:rPr>
              <w:t>招标</w:t>
            </w:r>
            <w:r>
              <w:rPr>
                <w:rFonts w:hint="eastAsia" w:asciiTheme="minorEastAsia" w:hAnsiTheme="minorEastAsia" w:eastAsiaTheme="minorEastAsia" w:cstheme="minorEastAsia"/>
                <w:color w:val="auto"/>
                <w:kern w:val="2"/>
                <w:szCs w:val="21"/>
                <w:highlight w:val="none"/>
              </w:rPr>
              <w:t>文件中描述</w:t>
            </w:r>
            <w:r>
              <w:rPr>
                <w:rFonts w:hint="eastAsia" w:asciiTheme="minorEastAsia" w:hAnsiTheme="minorEastAsia" w:eastAsiaTheme="minorEastAsia" w:cstheme="minorEastAsia"/>
                <w:color w:val="auto"/>
                <w:kern w:val="2"/>
                <w:szCs w:val="21"/>
                <w:highlight w:val="none"/>
                <w:lang w:eastAsia="zh-CN"/>
              </w:rPr>
              <w:t>投标人</w:t>
            </w:r>
            <w:r>
              <w:rPr>
                <w:rFonts w:hint="eastAsia" w:asciiTheme="minorEastAsia" w:hAnsiTheme="minorEastAsia" w:eastAsiaTheme="minorEastAsia" w:cstheme="minorEastAsia"/>
                <w:color w:val="auto"/>
                <w:kern w:val="2"/>
                <w:szCs w:val="21"/>
                <w:highlight w:val="none"/>
              </w:rPr>
              <w:t>的“签字”是指</w:t>
            </w:r>
            <w:r>
              <w:rPr>
                <w:rFonts w:hint="eastAsia" w:asciiTheme="minorEastAsia" w:hAnsiTheme="minorEastAsia" w:eastAsiaTheme="minorEastAsia" w:cstheme="minorEastAsia"/>
                <w:color w:val="auto"/>
                <w:kern w:val="2"/>
                <w:szCs w:val="21"/>
                <w:highlight w:val="none"/>
                <w:lang w:eastAsia="zh-CN"/>
              </w:rPr>
              <w:t>投标人</w:t>
            </w:r>
            <w:r>
              <w:rPr>
                <w:rFonts w:hint="eastAsia" w:asciiTheme="minorEastAsia" w:hAnsiTheme="minorEastAsia" w:eastAsiaTheme="minorEastAsia" w:cstheme="minorEastAsia"/>
                <w:color w:val="auto"/>
                <w:kern w:val="2"/>
                <w:szCs w:val="21"/>
                <w:highlight w:val="none"/>
              </w:rPr>
              <w:t>通过指定电子化政府采购平台办理数字证书（CA认证）获得的以</w:t>
            </w:r>
            <w:r>
              <w:rPr>
                <w:rFonts w:hint="eastAsia" w:asciiTheme="minorEastAsia" w:hAnsiTheme="minorEastAsia" w:eastAsiaTheme="minorEastAsia" w:cstheme="minorEastAsia"/>
                <w:color w:val="auto"/>
                <w:kern w:val="2"/>
                <w:szCs w:val="21"/>
                <w:highlight w:val="none"/>
                <w:lang w:eastAsia="zh-CN"/>
              </w:rPr>
              <w:t>投标人</w:t>
            </w:r>
            <w:r>
              <w:rPr>
                <w:rFonts w:hint="eastAsia" w:asciiTheme="minorEastAsia" w:hAnsiTheme="minorEastAsia" w:eastAsiaTheme="minorEastAsia" w:cstheme="minorEastAsia"/>
                <w:color w:val="auto"/>
                <w:kern w:val="2"/>
                <w:szCs w:val="21"/>
                <w:highlight w:val="none"/>
              </w:rPr>
              <w:t>法定代表人或者委托代理人姓名制作的电子印章或手写签字。</w:t>
            </w:r>
          </w:p>
          <w:p>
            <w:pPr>
              <w:pStyle w:val="9"/>
              <w:tabs>
                <w:tab w:val="center" w:pos="4153"/>
                <w:tab w:val="right" w:pos="8306"/>
              </w:tabs>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2"/>
                <w:szCs w:val="21"/>
                <w:highlight w:val="none"/>
                <w:lang w:val="en-US" w:eastAsia="zh-CN"/>
              </w:rPr>
              <w:t>3.本招标文件所称的“电子签章”“电子签名”，是指经</w:t>
            </w:r>
            <w:r>
              <w:rPr>
                <w:rFonts w:hint="eastAsia" w:asciiTheme="minorEastAsia" w:hAnsiTheme="minorEastAsia" w:eastAsiaTheme="minorEastAsia" w:cstheme="minorEastAsia"/>
                <w:b w:val="0"/>
                <w:bCs w:val="0"/>
                <w:color w:val="auto"/>
                <w:sz w:val="21"/>
                <w:szCs w:val="21"/>
                <w:highlight w:val="none"/>
                <w:lang w:val="en-US" w:eastAsia="zh-CN"/>
              </w:rPr>
              <w:t>广西政府采购云平台</w:t>
            </w:r>
            <w:r>
              <w:rPr>
                <w:rFonts w:hint="eastAsia" w:asciiTheme="minorEastAsia" w:hAnsiTheme="minorEastAsia" w:eastAsiaTheme="minorEastAsia" w:cstheme="minorEastAsia"/>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pPr>
              <w:pStyle w:val="9"/>
              <w:spacing w:line="360" w:lineRule="auto"/>
              <w:ind w:firstLine="42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lang w:val="en-US" w:eastAsia="zh-CN"/>
              </w:rPr>
              <w:t>4</w:t>
            </w:r>
            <w:r>
              <w:rPr>
                <w:rFonts w:hint="eastAsia" w:asciiTheme="minorEastAsia" w:hAnsiTheme="minorEastAsia" w:eastAsiaTheme="minorEastAsia" w:cstheme="minorEastAsia"/>
                <w:color w:val="auto"/>
                <w:kern w:val="2"/>
                <w:szCs w:val="21"/>
                <w:highlight w:val="none"/>
              </w:rPr>
              <w:t>.</w:t>
            </w:r>
            <w:r>
              <w:rPr>
                <w:rFonts w:hint="eastAsia" w:asciiTheme="minorEastAsia" w:hAnsiTheme="minorEastAsia" w:eastAsiaTheme="minorEastAsia" w:cstheme="minorEastAsia"/>
                <w:color w:val="auto"/>
                <w:kern w:val="2"/>
                <w:szCs w:val="21"/>
                <w:highlight w:val="none"/>
                <w:lang w:eastAsia="zh-CN"/>
              </w:rPr>
              <w:t>投标人</w:t>
            </w:r>
            <w:r>
              <w:rPr>
                <w:rFonts w:hint="eastAsia" w:asciiTheme="minorEastAsia" w:hAnsiTheme="minorEastAsia" w:eastAsiaTheme="minorEastAsia" w:cstheme="minorEastAsia"/>
                <w:color w:val="auto"/>
                <w:kern w:val="2"/>
                <w:szCs w:val="21"/>
                <w:highlight w:val="none"/>
              </w:rPr>
              <w:t>为其他组织或者自然人时，本</w:t>
            </w:r>
            <w:r>
              <w:rPr>
                <w:rFonts w:hint="eastAsia" w:asciiTheme="minorEastAsia" w:hAnsiTheme="minorEastAsia" w:eastAsiaTheme="minorEastAsia" w:cstheme="minorEastAsia"/>
                <w:color w:val="auto"/>
                <w:kern w:val="2"/>
                <w:szCs w:val="21"/>
                <w:highlight w:val="none"/>
                <w:lang w:eastAsia="zh-CN"/>
              </w:rPr>
              <w:t>招标文件</w:t>
            </w:r>
            <w:r>
              <w:rPr>
                <w:rFonts w:hint="eastAsia" w:asciiTheme="minorEastAsia" w:hAnsiTheme="minorEastAsia" w:eastAsiaTheme="minorEastAsia" w:cstheme="minorEastAsia"/>
                <w:color w:val="auto"/>
                <w:kern w:val="2"/>
                <w:szCs w:val="21"/>
                <w:highlight w:val="none"/>
              </w:rPr>
              <w:t>规定的法定代表人指负责人或者自然人。本</w:t>
            </w:r>
            <w:r>
              <w:rPr>
                <w:rFonts w:hint="eastAsia" w:asciiTheme="minorEastAsia" w:hAnsiTheme="minorEastAsia" w:eastAsiaTheme="minorEastAsia" w:cstheme="minorEastAsia"/>
                <w:color w:val="auto"/>
                <w:kern w:val="2"/>
                <w:szCs w:val="21"/>
                <w:highlight w:val="none"/>
                <w:lang w:eastAsia="zh-CN"/>
              </w:rPr>
              <w:t>招标文件</w:t>
            </w:r>
            <w:r>
              <w:rPr>
                <w:rFonts w:hint="eastAsia" w:asciiTheme="minorEastAsia" w:hAnsiTheme="minorEastAsia" w:eastAsiaTheme="minorEastAsia" w:cstheme="minorEastAsia"/>
                <w:color w:val="auto"/>
                <w:kern w:val="2"/>
                <w:szCs w:val="21"/>
                <w:highlight w:val="none"/>
              </w:rPr>
              <w:t>所称负责人是指参加</w:t>
            </w:r>
            <w:r>
              <w:rPr>
                <w:rFonts w:hint="eastAsia" w:asciiTheme="minorEastAsia" w:hAnsiTheme="minorEastAsia" w:eastAsiaTheme="minorEastAsia" w:cstheme="minorEastAsia"/>
                <w:color w:val="auto"/>
                <w:kern w:val="2"/>
                <w:szCs w:val="21"/>
                <w:highlight w:val="none"/>
                <w:lang w:eastAsia="zh-CN"/>
              </w:rPr>
              <w:t>投</w:t>
            </w:r>
            <w:r>
              <w:rPr>
                <w:rFonts w:hint="eastAsia" w:asciiTheme="minorEastAsia" w:hAnsiTheme="minorEastAsia" w:eastAsiaTheme="minorEastAsia" w:cstheme="minorEastAsia"/>
                <w:color w:val="auto"/>
                <w:kern w:val="2"/>
                <w:szCs w:val="21"/>
                <w:highlight w:val="none"/>
              </w:rPr>
              <w:t>标的其他组织营业执照上的负责人，本</w:t>
            </w:r>
            <w:r>
              <w:rPr>
                <w:rFonts w:hint="eastAsia" w:asciiTheme="minorEastAsia" w:hAnsiTheme="minorEastAsia" w:eastAsiaTheme="minorEastAsia" w:cstheme="minorEastAsia"/>
                <w:color w:val="auto"/>
                <w:kern w:val="2"/>
                <w:szCs w:val="21"/>
                <w:highlight w:val="none"/>
                <w:lang w:eastAsia="zh-CN"/>
              </w:rPr>
              <w:t>招标文件</w:t>
            </w:r>
            <w:r>
              <w:rPr>
                <w:rFonts w:hint="eastAsia" w:asciiTheme="minorEastAsia" w:hAnsiTheme="minorEastAsia" w:eastAsiaTheme="minorEastAsia" w:cstheme="minorEastAsia"/>
                <w:color w:val="auto"/>
                <w:kern w:val="2"/>
                <w:szCs w:val="21"/>
                <w:highlight w:val="none"/>
              </w:rPr>
              <w:t>所称自然人指参与</w:t>
            </w:r>
            <w:r>
              <w:rPr>
                <w:rFonts w:hint="eastAsia" w:asciiTheme="minorEastAsia" w:hAnsiTheme="minorEastAsia" w:eastAsiaTheme="minorEastAsia" w:cstheme="minorEastAsia"/>
                <w:color w:val="auto"/>
                <w:kern w:val="2"/>
                <w:szCs w:val="21"/>
                <w:highlight w:val="none"/>
                <w:lang w:eastAsia="zh-CN"/>
              </w:rPr>
              <w:t>投</w:t>
            </w:r>
            <w:r>
              <w:rPr>
                <w:rFonts w:hint="eastAsia" w:asciiTheme="minorEastAsia" w:hAnsiTheme="minorEastAsia" w:eastAsiaTheme="minorEastAsia" w:cstheme="minorEastAsia"/>
                <w:color w:val="auto"/>
                <w:kern w:val="2"/>
                <w:szCs w:val="21"/>
                <w:highlight w:val="none"/>
              </w:rPr>
              <w:t>标的自然人本人。</w:t>
            </w:r>
          </w:p>
          <w:p>
            <w:pPr>
              <w:pStyle w:val="9"/>
              <w:spacing w:line="360" w:lineRule="auto"/>
              <w:ind w:firstLine="42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lang w:val="en-US" w:eastAsia="zh-CN"/>
              </w:rPr>
              <w:t>5</w:t>
            </w:r>
            <w:r>
              <w:rPr>
                <w:rFonts w:hint="eastAsia" w:asciiTheme="minorEastAsia" w:hAnsiTheme="minorEastAsia" w:eastAsiaTheme="minorEastAsia" w:cstheme="minorEastAsia"/>
                <w:color w:val="auto"/>
                <w:kern w:val="2"/>
                <w:szCs w:val="21"/>
                <w:highlight w:val="none"/>
              </w:rPr>
              <w:t>.自然人</w:t>
            </w:r>
            <w:r>
              <w:rPr>
                <w:rFonts w:hint="eastAsia" w:asciiTheme="minorEastAsia" w:hAnsiTheme="minorEastAsia" w:eastAsiaTheme="minorEastAsia" w:cstheme="minorEastAsia"/>
                <w:color w:val="auto"/>
                <w:kern w:val="2"/>
                <w:szCs w:val="21"/>
                <w:highlight w:val="none"/>
                <w:lang w:eastAsia="zh-CN"/>
              </w:rPr>
              <w:t>投</w:t>
            </w:r>
            <w:r>
              <w:rPr>
                <w:rFonts w:hint="eastAsia" w:asciiTheme="minorEastAsia" w:hAnsiTheme="minorEastAsia" w:eastAsiaTheme="minorEastAsia" w:cstheme="minorEastAsia"/>
                <w:color w:val="auto"/>
                <w:kern w:val="2"/>
                <w:szCs w:val="21"/>
                <w:highlight w:val="none"/>
              </w:rPr>
              <w:t>标的，</w:t>
            </w:r>
            <w:r>
              <w:rPr>
                <w:rFonts w:hint="eastAsia" w:asciiTheme="minorEastAsia" w:hAnsiTheme="minorEastAsia" w:eastAsiaTheme="minorEastAsia" w:cstheme="minorEastAsia"/>
                <w:color w:val="auto"/>
                <w:kern w:val="2"/>
                <w:szCs w:val="21"/>
                <w:highlight w:val="none"/>
                <w:lang w:eastAsia="zh-CN"/>
              </w:rPr>
              <w:t>招标文件</w:t>
            </w:r>
            <w:r>
              <w:rPr>
                <w:rFonts w:hint="eastAsia" w:asciiTheme="minorEastAsia" w:hAnsiTheme="minorEastAsia" w:eastAsiaTheme="minorEastAsia" w:cstheme="minorEastAsia"/>
                <w:color w:val="auto"/>
                <w:kern w:val="2"/>
                <w:szCs w:val="21"/>
                <w:highlight w:val="none"/>
              </w:rPr>
              <w:t>规定盖公章处由自然人摁手指指印。</w:t>
            </w:r>
          </w:p>
          <w:p>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Cs w:val="21"/>
                <w:highlight w:val="none"/>
                <w:lang w:val="en-US" w:eastAsia="zh-CN"/>
              </w:rPr>
              <w:t xml:space="preserve">    6.</w:t>
            </w:r>
            <w:r>
              <w:rPr>
                <w:rFonts w:hint="eastAsia" w:asciiTheme="minorEastAsia" w:hAnsiTheme="minorEastAsia" w:eastAsiaTheme="minorEastAsia" w:cstheme="minorEastAsia"/>
                <w:color w:val="auto"/>
                <w:kern w:val="2"/>
                <w:szCs w:val="21"/>
                <w:highlight w:val="none"/>
              </w:rPr>
              <w:t>本</w:t>
            </w:r>
            <w:r>
              <w:rPr>
                <w:rFonts w:hint="eastAsia" w:asciiTheme="minorEastAsia" w:hAnsiTheme="minorEastAsia" w:eastAsiaTheme="minorEastAsia" w:cstheme="minorEastAsia"/>
                <w:color w:val="auto"/>
                <w:kern w:val="2"/>
                <w:szCs w:val="21"/>
                <w:highlight w:val="none"/>
                <w:lang w:eastAsia="zh-CN"/>
              </w:rPr>
              <w:t>招标文件</w:t>
            </w:r>
            <w:r>
              <w:rPr>
                <w:rFonts w:hint="eastAsia" w:asciiTheme="minorEastAsia" w:hAnsiTheme="minorEastAsia" w:eastAsiaTheme="minorEastAsia" w:cstheme="minorEastAsia"/>
                <w:color w:val="auto"/>
                <w:kern w:val="2"/>
                <w:szCs w:val="21"/>
                <w:highlight w:val="none"/>
              </w:rPr>
              <w:t>所称的“以上”“以下”“以内”“届满”，包括本数；所称的“不满”“超过”“以外”，不包括本数。</w:t>
            </w:r>
          </w:p>
        </w:tc>
      </w:tr>
    </w:tbl>
    <w:p>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pPr>
        <w:rPr>
          <w:rFonts w:hint="eastAsia" w:ascii="Times New Roman" w:hAnsi="Times New Roman" w:eastAsia="宋体" w:cs="Times New Roman"/>
          <w:color w:val="auto"/>
          <w:highlight w:val="none"/>
        </w:rPr>
      </w:pPr>
    </w:p>
    <w:p>
      <w:pPr>
        <w:pStyle w:val="3"/>
        <w:jc w:val="center"/>
        <w:rPr>
          <w:rFonts w:cs="Times New Roman"/>
          <w:color w:val="auto"/>
          <w:highlight w:val="none"/>
        </w:rPr>
      </w:pPr>
      <w:bookmarkStart w:id="114" w:name="_Toc25117"/>
      <w:bookmarkStart w:id="115" w:name="_Toc1030"/>
      <w:bookmarkStart w:id="116" w:name="_Toc8807"/>
      <w:bookmarkStart w:id="117" w:name="_Toc11336"/>
      <w:bookmarkStart w:id="118" w:name="_Toc13813"/>
      <w:bookmarkStart w:id="119" w:name="_Toc453"/>
      <w:bookmarkStart w:id="120" w:name="_Toc30841"/>
      <w:bookmarkStart w:id="121" w:name="_Toc7784"/>
      <w:bookmarkStart w:id="122" w:name="_Toc29311"/>
      <w:bookmarkStart w:id="123" w:name="_Toc24313"/>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14"/>
      <w:bookmarkEnd w:id="115"/>
      <w:bookmarkEnd w:id="116"/>
      <w:bookmarkEnd w:id="117"/>
      <w:bookmarkEnd w:id="118"/>
      <w:bookmarkEnd w:id="119"/>
      <w:bookmarkEnd w:id="120"/>
      <w:bookmarkEnd w:id="121"/>
      <w:bookmarkEnd w:id="122"/>
      <w:bookmarkEnd w:id="123"/>
    </w:p>
    <w:p>
      <w:pPr>
        <w:pStyle w:val="4"/>
        <w:keepNext w:val="0"/>
        <w:keepLines w:val="0"/>
        <w:spacing w:line="400" w:lineRule="exact"/>
        <w:jc w:val="center"/>
        <w:rPr>
          <w:rFonts w:ascii="Times New Roman" w:hAnsi="Times New Roman" w:eastAsia="宋体" w:cs="Times New Roman"/>
          <w:color w:val="auto"/>
          <w:highlight w:val="none"/>
        </w:rPr>
      </w:pPr>
      <w:bookmarkStart w:id="124" w:name="_Toc15523"/>
      <w:bookmarkStart w:id="125" w:name="_Toc3522"/>
      <w:bookmarkStart w:id="126" w:name="_Toc22266"/>
      <w:bookmarkStart w:id="127" w:name="_Toc19454"/>
      <w:bookmarkStart w:id="128" w:name="_Toc28360"/>
      <w:bookmarkStart w:id="129" w:name="_Toc3607"/>
      <w:bookmarkStart w:id="130" w:name="_Toc18594"/>
      <w:bookmarkStart w:id="131" w:name="_Toc21176"/>
      <w:bookmarkStart w:id="132" w:name="_Toc6594"/>
      <w:bookmarkStart w:id="133" w:name="_Toc30794"/>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24"/>
      <w:bookmarkEnd w:id="125"/>
      <w:bookmarkEnd w:id="126"/>
      <w:bookmarkEnd w:id="127"/>
      <w:bookmarkEnd w:id="128"/>
      <w:bookmarkEnd w:id="129"/>
      <w:bookmarkEnd w:id="130"/>
      <w:bookmarkEnd w:id="131"/>
      <w:bookmarkEnd w:id="132"/>
      <w:bookmarkEnd w:id="133"/>
    </w:p>
    <w:p>
      <w:pPr>
        <w:spacing w:line="360" w:lineRule="auto"/>
        <w:ind w:firstLine="480" w:firstLineChars="200"/>
        <w:rPr>
          <w:rFonts w:ascii="黑体" w:hAnsi="黑体" w:eastAsia="黑体" w:cs="Times New Roman"/>
          <w:color w:val="auto"/>
          <w:sz w:val="24"/>
          <w:highlight w:val="none"/>
        </w:rPr>
      </w:pPr>
      <w:bookmarkStart w:id="134" w:name="_Toc254970668"/>
      <w:bookmarkStart w:id="135" w:name="_Toc254970527"/>
      <w:r>
        <w:rPr>
          <w:rFonts w:hint="eastAsia" w:ascii="黑体" w:hAnsi="黑体" w:eastAsia="黑体" w:cs="Times New Roman"/>
          <w:color w:val="auto"/>
          <w:sz w:val="24"/>
          <w:highlight w:val="none"/>
        </w:rPr>
        <w:t>1.适用范围</w:t>
      </w:r>
      <w:bookmarkEnd w:id="134"/>
      <w:bookmarkEnd w:id="135"/>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pPr>
        <w:spacing w:line="360" w:lineRule="auto"/>
        <w:ind w:firstLine="480" w:firstLineChars="200"/>
        <w:rPr>
          <w:rFonts w:hint="eastAsia" w:ascii="黑体" w:hAnsi="黑体" w:eastAsia="黑体" w:cs="Times New Roman"/>
          <w:color w:val="auto"/>
          <w:sz w:val="24"/>
          <w:highlight w:val="none"/>
        </w:rPr>
      </w:pPr>
      <w:bookmarkStart w:id="136" w:name="_Toc254970669"/>
      <w:bookmarkStart w:id="137" w:name="_Toc254970528"/>
      <w:r>
        <w:rPr>
          <w:rFonts w:hint="eastAsia" w:ascii="黑体" w:hAnsi="黑体" w:eastAsia="黑体" w:cs="Times New Roman"/>
          <w:color w:val="auto"/>
          <w:sz w:val="24"/>
          <w:highlight w:val="none"/>
        </w:rPr>
        <w:t>2.定义</w:t>
      </w:r>
      <w:bookmarkEnd w:id="136"/>
      <w:bookmarkEnd w:id="137"/>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8" w:name="_Toc254970529"/>
      <w:bookmarkStart w:id="139" w:name="_Toc254970670"/>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8"/>
      <w:bookmarkEnd w:id="139"/>
      <w:r>
        <w:rPr>
          <w:rFonts w:hint="eastAsia" w:ascii="黑体" w:hAnsi="黑体" w:eastAsia="黑体" w:cs="Times New Roman"/>
          <w:color w:val="auto"/>
          <w:sz w:val="24"/>
          <w:highlight w:val="none"/>
        </w:rPr>
        <w:t>投标人的资格要求</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pPr>
        <w:spacing w:line="360" w:lineRule="auto"/>
        <w:ind w:firstLine="480" w:firstLineChars="200"/>
        <w:rPr>
          <w:rFonts w:hint="eastAsia" w:ascii="黑体" w:hAnsi="黑体" w:eastAsia="黑体" w:cs="Times New Roman"/>
          <w:color w:val="auto"/>
          <w:sz w:val="24"/>
          <w:highlight w:val="none"/>
        </w:rPr>
      </w:pPr>
      <w:bookmarkStart w:id="140" w:name="_Toc254970671"/>
      <w:bookmarkStart w:id="141" w:name="_Toc254970530"/>
      <w:r>
        <w:rPr>
          <w:rFonts w:hint="eastAsia" w:ascii="黑体" w:hAnsi="黑体" w:eastAsia="黑体" w:cs="Times New Roman"/>
          <w:color w:val="auto"/>
          <w:sz w:val="24"/>
          <w:highlight w:val="none"/>
        </w:rPr>
        <w:t>4.投标委托</w:t>
      </w:r>
      <w:bookmarkEnd w:id="140"/>
      <w:bookmarkEnd w:id="141"/>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hint="eastAsia" w:ascii="黑体" w:hAnsi="黑体" w:eastAsia="黑体" w:cs="Times New Roman"/>
          <w:color w:val="auto"/>
          <w:sz w:val="24"/>
          <w:highlight w:val="none"/>
        </w:rPr>
      </w:pPr>
      <w:bookmarkStart w:id="142" w:name="_5.投标费用"/>
      <w:bookmarkEnd w:id="142"/>
      <w:bookmarkStart w:id="143" w:name="_Toc254970672"/>
      <w:bookmarkStart w:id="144" w:name="_Toc254970531"/>
      <w:r>
        <w:rPr>
          <w:rFonts w:hint="eastAsia" w:ascii="黑体" w:hAnsi="黑体" w:eastAsia="黑体" w:cs="Times New Roman"/>
          <w:color w:val="auto"/>
          <w:sz w:val="24"/>
          <w:highlight w:val="none"/>
        </w:rPr>
        <w:t>5.投标费用</w:t>
      </w:r>
      <w:bookmarkEnd w:id="143"/>
      <w:bookmarkEnd w:id="144"/>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360" w:lineRule="auto"/>
        <w:ind w:firstLine="480" w:firstLineChars="200"/>
        <w:rPr>
          <w:rFonts w:hint="eastAsia" w:ascii="黑体" w:hAnsi="黑体" w:eastAsia="黑体" w:cs="Times New Roman"/>
          <w:color w:val="auto"/>
          <w:sz w:val="24"/>
          <w:highlight w:val="none"/>
        </w:rPr>
      </w:pPr>
      <w:bookmarkStart w:id="145" w:name="_Toc254970673"/>
      <w:bookmarkStart w:id="146" w:name="_Toc254970532"/>
      <w:r>
        <w:rPr>
          <w:rFonts w:hint="eastAsia" w:ascii="黑体" w:hAnsi="黑体" w:eastAsia="黑体" w:cs="Times New Roman"/>
          <w:color w:val="auto"/>
          <w:sz w:val="24"/>
          <w:highlight w:val="none"/>
        </w:rPr>
        <w:t>8.特别说明：</w:t>
      </w:r>
      <w:bookmarkEnd w:id="145"/>
      <w:bookmarkEnd w:id="146"/>
      <w:bookmarkStart w:id="147" w:name="_8.1提供相同品牌产品且通过资格审查、符合性审查的不同投标人参加同一合"/>
      <w:bookmarkEnd w:id="147"/>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pPr>
        <w:pStyle w:val="13"/>
        <w:snapToGrid w:val="0"/>
        <w:spacing w:line="360" w:lineRule="auto"/>
        <w:ind w:left="2" w:leftChars="1" w:firstLine="422" w:firstLineChars="200"/>
        <w:rPr>
          <w:rFonts w:hAnsi="宋体" w:eastAsia="宋体" w:cs="Times New Roman"/>
          <w:b/>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148" w:name="_Toc18580"/>
      <w:bookmarkStart w:id="149" w:name="_Toc11054"/>
      <w:bookmarkStart w:id="150" w:name="_Toc22911"/>
      <w:bookmarkStart w:id="151" w:name="_Toc128"/>
      <w:bookmarkStart w:id="152" w:name="_Toc254970675"/>
      <w:bookmarkStart w:id="153" w:name="_Toc17855"/>
      <w:bookmarkStart w:id="154" w:name="_Toc10320"/>
      <w:bookmarkStart w:id="155" w:name="_Toc6920"/>
      <w:bookmarkStart w:id="156" w:name="_Toc254970534"/>
      <w:bookmarkStart w:id="157" w:name="_Toc19016"/>
      <w:bookmarkStart w:id="158" w:name="_Toc9988"/>
      <w:bookmarkStart w:id="159" w:name="_Toc25104"/>
      <w:r>
        <w:rPr>
          <w:rFonts w:hint="eastAsia" w:ascii="Times New Roman" w:hAnsi="Times New Roman" w:eastAsia="宋体" w:cs="Times New Roman"/>
          <w:color w:val="auto"/>
          <w:highlight w:val="none"/>
        </w:rPr>
        <w:t>二、招标文件</w:t>
      </w:r>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60"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60"/>
    <w:p>
      <w:pPr>
        <w:pStyle w:val="4"/>
        <w:keepNext w:val="0"/>
        <w:keepLines w:val="0"/>
        <w:spacing w:line="400" w:lineRule="exact"/>
        <w:jc w:val="center"/>
        <w:rPr>
          <w:rFonts w:ascii="Times New Roman" w:hAnsi="Times New Roman" w:eastAsia="宋体" w:cs="Times New Roman"/>
          <w:color w:val="auto"/>
          <w:highlight w:val="none"/>
        </w:rPr>
      </w:pPr>
      <w:bookmarkStart w:id="161" w:name="_Toc32154"/>
      <w:bookmarkStart w:id="162" w:name="_Toc16623"/>
      <w:bookmarkStart w:id="163" w:name="_Toc20"/>
      <w:bookmarkStart w:id="164" w:name="_Toc2635"/>
      <w:bookmarkStart w:id="165" w:name="_Toc28419"/>
      <w:bookmarkStart w:id="166" w:name="_Toc7841"/>
      <w:bookmarkStart w:id="167" w:name="_Toc24872"/>
      <w:bookmarkStart w:id="168" w:name="_Toc254970676"/>
      <w:bookmarkStart w:id="169" w:name="_Toc27367"/>
      <w:bookmarkStart w:id="170" w:name="_Toc12080"/>
      <w:bookmarkStart w:id="171" w:name="_Toc254970535"/>
      <w:bookmarkStart w:id="172" w:name="_Toc32499"/>
      <w:r>
        <w:rPr>
          <w:rFonts w:hint="eastAsia" w:ascii="Times New Roman" w:hAnsi="Times New Roman" w:eastAsia="宋体" w:cs="Times New Roman"/>
          <w:color w:val="auto"/>
          <w:highlight w:val="none"/>
        </w:rPr>
        <w:t>三、投标文件的编制</w:t>
      </w:r>
      <w:bookmarkEnd w:id="161"/>
      <w:bookmarkEnd w:id="162"/>
      <w:bookmarkEnd w:id="163"/>
      <w:bookmarkEnd w:id="164"/>
      <w:bookmarkEnd w:id="165"/>
      <w:bookmarkEnd w:id="166"/>
      <w:bookmarkEnd w:id="167"/>
      <w:bookmarkEnd w:id="168"/>
      <w:bookmarkEnd w:id="169"/>
      <w:bookmarkEnd w:id="170"/>
      <w:bookmarkEnd w:id="171"/>
      <w:bookmarkEnd w:id="172"/>
    </w:p>
    <w:p>
      <w:pPr>
        <w:spacing w:line="360" w:lineRule="auto"/>
        <w:ind w:firstLine="480" w:firstLineChars="200"/>
        <w:rPr>
          <w:rFonts w:ascii="黑体" w:hAnsi="黑体" w:eastAsia="黑体" w:cs="Times New Roman"/>
          <w:color w:val="auto"/>
          <w:sz w:val="24"/>
          <w:highlight w:val="none"/>
        </w:rPr>
      </w:pPr>
      <w:bookmarkStart w:id="173" w:name="_Toc254970536"/>
      <w:bookmarkStart w:id="174" w:name="_Toc254970677"/>
      <w:r>
        <w:rPr>
          <w:rFonts w:hint="eastAsia" w:ascii="黑体" w:hAnsi="黑体" w:eastAsia="黑体" w:cs="Times New Roman"/>
          <w:color w:val="auto"/>
          <w:sz w:val="24"/>
          <w:highlight w:val="none"/>
        </w:rPr>
        <w:t>12.投标文件的编制原则</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73"/>
      <w:bookmarkEnd w:id="174"/>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pPr>
        <w:spacing w:line="360" w:lineRule="auto"/>
        <w:ind w:firstLine="420" w:firstLineChars="200"/>
        <w:rPr>
          <w:rFonts w:hint="eastAsia" w:ascii="宋体" w:hAnsi="宋体" w:eastAsia="宋体" w:cs="Times New Roman"/>
          <w:bCs/>
          <w:color w:val="auto"/>
          <w:szCs w:val="21"/>
          <w:highlight w:val="none"/>
        </w:rPr>
      </w:pPr>
      <w:bookmarkStart w:id="175" w:name="_13.2资格证明文件：具体材料见“投标人须知前附表”。"/>
      <w:bookmarkEnd w:id="175"/>
      <w:bookmarkStart w:id="176" w:name="_13.1报价文件:_具体材料见“投标人须知前附表”。"/>
      <w:bookmarkEnd w:id="176"/>
      <w:r>
        <w:rPr>
          <w:rFonts w:hint="eastAsia" w:ascii="宋体" w:hAnsi="宋体" w:eastAsia="宋体" w:cs="Times New Roman"/>
          <w:bCs/>
          <w:color w:val="auto"/>
          <w:szCs w:val="21"/>
          <w:highlight w:val="none"/>
        </w:rPr>
        <w:t>（1）资格证明文件：具体材料见“投标人须知前附表”。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7" w:name="_13.3商务文件:_具体材料见“投标人须知前附表”。"/>
      <w:bookmarkEnd w:id="177"/>
      <w:r>
        <w:rPr>
          <w:rFonts w:hint="eastAsia" w:ascii="宋体" w:hAnsi="宋体" w:eastAsia="宋体" w:cs="Times New Roman"/>
          <w:bCs/>
          <w:color w:val="auto"/>
          <w:szCs w:val="21"/>
          <w:highlight w:val="none"/>
        </w:rPr>
        <w:t>（2）商务文件：具体材料见“投标人须知前附表”。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8" w:name="_13.4技术文件：具体材料见“投标人须知前附表”。"/>
      <w:bookmarkEnd w:id="178"/>
      <w:r>
        <w:rPr>
          <w:rFonts w:hint="eastAsia" w:ascii="宋体" w:hAnsi="宋体" w:eastAsia="宋体" w:cs="Times New Roman"/>
          <w:bCs/>
          <w:color w:val="auto"/>
          <w:szCs w:val="21"/>
          <w:highlight w:val="none"/>
        </w:rPr>
        <w:t xml:space="preserve">（3）技术文件：具体材料见“投标人须知前附表”。 </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9" w:name="_13.5投标文件电子版：具体材料见“投标人须知前附表”。"/>
      <w:bookmarkEnd w:id="179"/>
      <w:r>
        <w:rPr>
          <w:rFonts w:hint="eastAsia" w:ascii="宋体" w:hAnsi="宋体" w:eastAsia="宋体" w:cs="Times New Roman"/>
          <w:bCs/>
          <w:color w:val="auto"/>
          <w:szCs w:val="21"/>
          <w:highlight w:val="none"/>
        </w:rPr>
        <w:t>13.2投标文件电子版：具体要求见本节19.投标文件编制。</w:t>
      </w:r>
    </w:p>
    <w:p>
      <w:pPr>
        <w:spacing w:line="360" w:lineRule="auto"/>
        <w:ind w:firstLine="480" w:firstLineChars="200"/>
        <w:rPr>
          <w:rFonts w:hint="eastAsia" w:ascii="黑体" w:hAnsi="黑体" w:eastAsia="黑体" w:cs="Times New Roman"/>
          <w:color w:val="auto"/>
          <w:sz w:val="24"/>
          <w:highlight w:val="none"/>
        </w:rPr>
      </w:pPr>
      <w:bookmarkStart w:id="180" w:name="_Toc254970678"/>
      <w:bookmarkStart w:id="181" w:name="_Toc254970537"/>
      <w:r>
        <w:rPr>
          <w:rFonts w:hint="eastAsia" w:ascii="黑体" w:hAnsi="黑体" w:eastAsia="黑体" w:cs="Times New Roman"/>
          <w:color w:val="auto"/>
          <w:sz w:val="24"/>
          <w:highlight w:val="none"/>
        </w:rPr>
        <w:t>14.投标文件的语言及计量</w:t>
      </w:r>
      <w:bookmarkEnd w:id="180"/>
      <w:bookmarkEnd w:id="181"/>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s="Times New Roman"/>
          <w:color w:val="auto"/>
          <w:sz w:val="24"/>
          <w:highlight w:val="none"/>
        </w:rPr>
      </w:pPr>
      <w:bookmarkStart w:id="182" w:name="_Toc254970679"/>
      <w:bookmarkStart w:id="183" w:name="_Toc254970538"/>
      <w:r>
        <w:rPr>
          <w:rFonts w:hint="eastAsia" w:ascii="黑体" w:hAnsi="黑体" w:eastAsia="黑体" w:cs="Times New Roman"/>
          <w:color w:val="auto"/>
          <w:sz w:val="24"/>
          <w:highlight w:val="none"/>
        </w:rPr>
        <w:t>16.投标报价</w:t>
      </w:r>
      <w:bookmarkEnd w:id="182"/>
      <w:bookmarkEnd w:id="183"/>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pPr>
        <w:spacing w:line="360" w:lineRule="auto"/>
        <w:ind w:firstLine="420" w:firstLineChars="200"/>
        <w:rPr>
          <w:rFonts w:hint="eastAsia" w:ascii="宋体" w:hAnsi="宋体" w:eastAsia="宋体" w:cs="Times New Roman"/>
          <w:bCs/>
          <w:color w:val="auto"/>
          <w:szCs w:val="21"/>
          <w:highlight w:val="none"/>
        </w:rPr>
      </w:pPr>
      <w:bookmarkStart w:id="184" w:name="_16.2投标报价具体定义见投标人须知前附表。"/>
      <w:bookmarkEnd w:id="184"/>
      <w:r>
        <w:rPr>
          <w:rFonts w:hint="eastAsia" w:ascii="宋体" w:hAnsi="宋体" w:eastAsia="宋体" w:cs="Times New Roman"/>
          <w:bCs/>
          <w:color w:val="auto"/>
          <w:szCs w:val="21"/>
          <w:highlight w:val="none"/>
        </w:rPr>
        <w:t>16.2投标报价具体包括内容详见“投标人须知前附表”。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pPr>
        <w:spacing w:line="360" w:lineRule="auto"/>
        <w:ind w:firstLine="420" w:firstLineChars="200"/>
        <w:rPr>
          <w:rFonts w:hint="eastAsia" w:ascii="宋体" w:hAnsi="宋体" w:eastAsia="宋体" w:cs="Times New Roman"/>
          <w:bCs/>
          <w:color w:val="auto"/>
          <w:szCs w:val="21"/>
          <w:highlight w:val="none"/>
        </w:rPr>
      </w:pPr>
      <w:bookmarkStart w:id="185" w:name="_17.1投标有效期应按“投标人须知中的前附表”规定的期限。"/>
      <w:bookmarkEnd w:id="185"/>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86" w:name="_Toc254970681"/>
      <w:bookmarkStart w:id="187"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86"/>
      <w:bookmarkEnd w:id="187"/>
    </w:p>
    <w:p>
      <w:pPr>
        <w:spacing w:line="360" w:lineRule="auto"/>
        <w:ind w:firstLine="480" w:firstLineChars="200"/>
        <w:rPr>
          <w:rFonts w:hint="eastAsia" w:ascii="黑体" w:hAnsi="黑体" w:eastAsia="黑体" w:cs="Times New Roman"/>
          <w:color w:val="auto"/>
          <w:sz w:val="24"/>
          <w:highlight w:val="none"/>
        </w:rPr>
      </w:pPr>
      <w:bookmarkStart w:id="188" w:name="_18.投标保证金"/>
      <w:bookmarkEnd w:id="188"/>
      <w:bookmarkStart w:id="189" w:name="_Toc254970541"/>
      <w:bookmarkStart w:id="190" w:name="_Toc254970682"/>
      <w:r>
        <w:rPr>
          <w:rFonts w:hint="eastAsia" w:ascii="黑体" w:hAnsi="黑体" w:eastAsia="黑体" w:cs="Times New Roman"/>
          <w:color w:val="auto"/>
          <w:sz w:val="24"/>
          <w:highlight w:val="none"/>
        </w:rPr>
        <w:t>18.投标保证金</w:t>
      </w:r>
      <w:bookmarkEnd w:id="189"/>
      <w:bookmarkEnd w:id="190"/>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91" w:name="_Toc254970542"/>
      <w:bookmarkStart w:id="192" w:name="_Toc254970683"/>
      <w:r>
        <w:rPr>
          <w:rFonts w:hint="eastAsia" w:ascii="宋体" w:hAnsi="宋体" w:eastAsia="宋体" w:cs="宋体"/>
          <w:b w:val="0"/>
          <w:color w:val="auto"/>
          <w:sz w:val="21"/>
          <w:szCs w:val="21"/>
          <w:highlight w:val="none"/>
        </w:rPr>
        <w:t>18.1投标人须按“投标人须知前附表” 的规定提交投标保证金。</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91"/>
      <w:bookmarkEnd w:id="192"/>
      <w:r>
        <w:rPr>
          <w:rFonts w:hint="eastAsia" w:ascii="黑体" w:hAnsi="黑体" w:eastAsia="黑体" w:cs="Times New Roman"/>
          <w:color w:val="auto"/>
          <w:sz w:val="24"/>
          <w:highlight w:val="none"/>
        </w:rPr>
        <w:t>编制</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93" w:name="_19.2投标文件应按报价文件、资格证明文件、商务文件、技术文件分别编制"/>
      <w:bookmarkEnd w:id="193"/>
      <w:r>
        <w:rPr>
          <w:rFonts w:hint="eastAsia" w:ascii="宋体" w:hAnsi="宋体" w:eastAsia="宋体" w:cs="宋体"/>
          <w:color w:val="auto"/>
          <w:szCs w:val="21"/>
          <w:highlight w:val="none"/>
        </w:rPr>
        <w:t xml:space="preserve"> </w:t>
      </w:r>
    </w:p>
    <w:p>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pPr>
        <w:pStyle w:val="30"/>
        <w:snapToGrid w:val="0"/>
        <w:spacing w:before="0"/>
        <w:ind w:firstLine="420"/>
        <w:rPr>
          <w:rFonts w:hint="eastAsia" w:ascii="宋体" w:hAnsi="宋体" w:eastAsia="宋体" w:cs="宋体"/>
          <w:color w:val="auto"/>
          <w:sz w:val="21"/>
          <w:szCs w:val="21"/>
          <w:highlight w:val="none"/>
        </w:rPr>
      </w:pPr>
    </w:p>
    <w:p>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pPr>
        <w:spacing w:line="360" w:lineRule="auto"/>
        <w:ind w:firstLine="420" w:firstLineChars="200"/>
        <w:rPr>
          <w:rFonts w:hint="eastAsia" w:ascii="Times New Roman" w:hAnsi="宋体" w:eastAsia="宋体" w:cs="Times New Roman"/>
          <w:b/>
          <w:color w:val="auto"/>
          <w:highlight w:val="none"/>
        </w:rPr>
      </w:pPr>
      <w:bookmarkStart w:id="194" w:name="_21.1投标人必须在“投标人须知中的前附表”规定的投标文件接收时间和投"/>
      <w:bookmarkEnd w:id="194"/>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95" w:name="_Toc254970684"/>
      <w:bookmarkStart w:id="196" w:name="_Toc254970543"/>
    </w:p>
    <w:p>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pPr>
        <w:pStyle w:val="3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95"/>
    <w:bookmarkEnd w:id="196"/>
    <w:p>
      <w:pPr>
        <w:pStyle w:val="11"/>
        <w:snapToGrid w:val="0"/>
        <w:spacing w:line="400" w:lineRule="exact"/>
        <w:ind w:firstLine="739"/>
        <w:rPr>
          <w:rFonts w:hint="eastAsia" w:hAnsi="宋体" w:eastAsia="宋体" w:cs="Times New Roman"/>
          <w:snapToGrid w:val="0"/>
          <w:color w:val="auto"/>
          <w:sz w:val="21"/>
          <w:szCs w:val="21"/>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197" w:name="_Toc12790"/>
      <w:bookmarkStart w:id="198" w:name="_Toc14091"/>
      <w:bookmarkStart w:id="199" w:name="_Toc32494"/>
      <w:bookmarkStart w:id="200" w:name="_Toc22661"/>
      <w:bookmarkStart w:id="201" w:name="_Toc27037"/>
      <w:bookmarkStart w:id="202" w:name="_Toc13250"/>
      <w:bookmarkStart w:id="203" w:name="_Toc1586"/>
      <w:bookmarkStart w:id="204" w:name="_Toc254970685"/>
      <w:bookmarkStart w:id="205" w:name="_Toc2573"/>
      <w:bookmarkStart w:id="206" w:name="_Toc1356"/>
      <w:bookmarkStart w:id="207" w:name="_Toc254970544"/>
      <w:bookmarkStart w:id="208" w:name="_Toc81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480" w:firstLineChars="200"/>
        <w:rPr>
          <w:rFonts w:ascii="黑体" w:hAnsi="黑体" w:eastAsia="黑体" w:cs="Times New Roman"/>
          <w:color w:val="auto"/>
          <w:sz w:val="24"/>
          <w:highlight w:val="none"/>
        </w:rPr>
      </w:pPr>
      <w:bookmarkStart w:id="209" w:name="_23.开标时间和地点"/>
      <w:bookmarkEnd w:id="209"/>
      <w:r>
        <w:rPr>
          <w:rFonts w:hint="eastAsia" w:ascii="黑体" w:hAnsi="黑体" w:eastAsia="黑体" w:cs="Times New Roman"/>
          <w:color w:val="auto"/>
          <w:sz w:val="24"/>
          <w:highlight w:val="none"/>
        </w:rPr>
        <w:t>23.开标时间和地点</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pPr>
        <w:pStyle w:val="13"/>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pPr>
        <w:pStyle w:val="13"/>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pPr>
        <w:pStyle w:val="13"/>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pPr>
        <w:pStyle w:val="13"/>
        <w:snapToGrid w:val="0"/>
        <w:spacing w:line="400" w:lineRule="exact"/>
        <w:ind w:left="689" w:leftChars="228" w:hanging="210" w:hangingChars="100"/>
        <w:rPr>
          <w:rFonts w:hint="eastAsia" w:hAnsi="宋体" w:eastAsia="宋体" w:cs="Times New Roman"/>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210" w:name="_Toc29189"/>
      <w:bookmarkStart w:id="211" w:name="_Toc1489"/>
      <w:bookmarkStart w:id="212" w:name="_Toc23512"/>
      <w:bookmarkStart w:id="213" w:name="_Toc31994"/>
      <w:bookmarkStart w:id="214" w:name="_Toc25053"/>
      <w:bookmarkStart w:id="215" w:name="_Toc6866"/>
      <w:bookmarkStart w:id="216" w:name="_Toc8919"/>
      <w:bookmarkStart w:id="217" w:name="_Toc2575"/>
      <w:bookmarkStart w:id="218" w:name="_Toc22509"/>
      <w:bookmarkStart w:id="219" w:name="_Toc19053"/>
      <w:r>
        <w:rPr>
          <w:rFonts w:hint="eastAsia" w:ascii="Times New Roman" w:hAnsi="Times New Roman" w:eastAsia="宋体" w:cs="Times New Roman"/>
          <w:color w:val="auto"/>
          <w:highlight w:val="none"/>
        </w:rPr>
        <w:t>五、资格审查</w:t>
      </w:r>
      <w:bookmarkEnd w:id="210"/>
      <w:bookmarkEnd w:id="211"/>
      <w:bookmarkEnd w:id="212"/>
      <w:bookmarkEnd w:id="213"/>
      <w:bookmarkEnd w:id="214"/>
      <w:bookmarkEnd w:id="215"/>
      <w:bookmarkEnd w:id="216"/>
      <w:bookmarkEnd w:id="217"/>
      <w:bookmarkEnd w:id="218"/>
      <w:bookmarkEnd w:id="219"/>
    </w:p>
    <w:p>
      <w:pPr>
        <w:pStyle w:val="6"/>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eastAsia="宋体" w:cs="Times New Roman"/>
          <w:b/>
          <w:bCs/>
          <w:color w:val="auto"/>
          <w:szCs w:val="20"/>
          <w:highlight w:val="none"/>
        </w:rPr>
      </w:pPr>
      <w:bookmarkStart w:id="220" w:name="_25.3_投标人有下列情形之一的，资格审查不通过而导致其投标无效："/>
      <w:bookmarkEnd w:id="220"/>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pPr>
        <w:pStyle w:val="14"/>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（4）同一合同项下的不同供应商，单位负责人为同一人或者存在直接控股、管理关系的；为本项目提供过整体设计、规范编制或者项目管理、监理、检测等服务的。</w:t>
      </w:r>
    </w:p>
    <w:p>
      <w:pPr>
        <w:pStyle w:val="6"/>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pPr>
        <w:pStyle w:val="4"/>
        <w:keepNext w:val="0"/>
        <w:keepLines w:val="0"/>
        <w:spacing w:line="360" w:lineRule="auto"/>
        <w:jc w:val="center"/>
        <w:rPr>
          <w:rFonts w:hint="eastAsia" w:ascii="Times New Roman" w:hAnsi="Times New Roman" w:eastAsia="宋体" w:cs="Times New Roman"/>
          <w:color w:val="auto"/>
          <w:highlight w:val="none"/>
        </w:rPr>
      </w:pPr>
      <w:bookmarkStart w:id="221" w:name="_Toc21152"/>
      <w:bookmarkStart w:id="222" w:name="_Toc19035"/>
      <w:bookmarkStart w:id="223" w:name="_Toc15749"/>
      <w:bookmarkStart w:id="224" w:name="_Toc20446"/>
      <w:bookmarkStart w:id="225" w:name="_Toc3548"/>
      <w:bookmarkStart w:id="226" w:name="_Toc29412"/>
      <w:bookmarkStart w:id="227" w:name="_Toc20983"/>
      <w:bookmarkStart w:id="228" w:name="_Toc2770"/>
      <w:bookmarkStart w:id="229" w:name="_Toc1454"/>
      <w:bookmarkStart w:id="230" w:name="_Toc11169"/>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21"/>
      <w:bookmarkEnd w:id="222"/>
      <w:bookmarkEnd w:id="223"/>
      <w:bookmarkEnd w:id="224"/>
      <w:bookmarkEnd w:id="225"/>
      <w:bookmarkEnd w:id="226"/>
      <w:bookmarkEnd w:id="227"/>
      <w:bookmarkEnd w:id="228"/>
      <w:bookmarkEnd w:id="229"/>
      <w:bookmarkEnd w:id="230"/>
    </w:p>
    <w:p>
      <w:pPr>
        <w:spacing w:line="360" w:lineRule="auto"/>
        <w:ind w:firstLine="480" w:firstLineChars="200"/>
        <w:rPr>
          <w:rFonts w:ascii="黑体" w:hAnsi="黑体" w:eastAsia="黑体" w:cs="Times New Roman"/>
          <w:color w:val="auto"/>
          <w:sz w:val="24"/>
          <w:highlight w:val="none"/>
        </w:rPr>
      </w:pPr>
      <w:bookmarkStart w:id="231" w:name="_26.组建评标委员会"/>
      <w:bookmarkEnd w:id="231"/>
      <w:r>
        <w:rPr>
          <w:rFonts w:hint="eastAsia" w:ascii="黑体" w:hAnsi="黑体" w:eastAsia="黑体" w:cs="Times New Roman"/>
          <w:color w:val="auto"/>
          <w:sz w:val="24"/>
          <w:highlight w:val="none"/>
        </w:rPr>
        <w:t>26.组建评标委员会</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3"/>
        <w:snapToGrid w:val="0"/>
        <w:spacing w:line="400" w:lineRule="exact"/>
        <w:ind w:firstLine="420" w:firstLineChars="200"/>
        <w:rPr>
          <w:rFonts w:hAnsi="宋体" w:eastAsia="宋体" w:cs="Times New Roman"/>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232" w:name="_Toc254970546"/>
      <w:bookmarkStart w:id="233" w:name="_Toc254970687"/>
      <w:bookmarkStart w:id="234" w:name="_Toc2302"/>
      <w:bookmarkStart w:id="235" w:name="_Toc31226"/>
      <w:bookmarkStart w:id="236" w:name="_Toc10427"/>
      <w:bookmarkStart w:id="237" w:name="_Toc24771"/>
      <w:bookmarkStart w:id="238" w:name="_Toc4688"/>
      <w:bookmarkStart w:id="239" w:name="_Toc31698"/>
      <w:bookmarkStart w:id="240" w:name="_Toc32339"/>
      <w:bookmarkStart w:id="241" w:name="_Toc14661"/>
      <w:bookmarkStart w:id="242" w:name="_Toc15452"/>
      <w:bookmarkStart w:id="243" w:name="_Toc10518"/>
      <w:r>
        <w:rPr>
          <w:rFonts w:hint="eastAsia" w:ascii="Times New Roman" w:hAnsi="Times New Roman" w:eastAsia="宋体" w:cs="Times New Roman"/>
          <w:color w:val="auto"/>
          <w:highlight w:val="none"/>
        </w:rPr>
        <w:t>七、</w:t>
      </w:r>
      <w:bookmarkEnd w:id="232"/>
      <w:bookmarkEnd w:id="233"/>
      <w:r>
        <w:rPr>
          <w:rFonts w:hint="eastAsia" w:ascii="Times New Roman" w:hAnsi="Times New Roman" w:eastAsia="宋体" w:cs="Times New Roman"/>
          <w:color w:val="auto"/>
          <w:highlight w:val="none"/>
        </w:rPr>
        <w:t>中标和合同</w:t>
      </w:r>
      <w:bookmarkEnd w:id="234"/>
      <w:bookmarkEnd w:id="235"/>
      <w:bookmarkEnd w:id="236"/>
      <w:bookmarkEnd w:id="237"/>
      <w:bookmarkEnd w:id="238"/>
      <w:bookmarkEnd w:id="239"/>
      <w:bookmarkEnd w:id="240"/>
      <w:bookmarkEnd w:id="241"/>
      <w:bookmarkEnd w:id="242"/>
      <w:bookmarkEnd w:id="243"/>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44" w:name="_39.1中标人须于签订合同前按本须知前附表规定的金额转账或电汇到指定账"/>
      <w:bookmarkEnd w:id="244"/>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pPr>
        <w:spacing w:line="360" w:lineRule="auto"/>
        <w:ind w:firstLine="420" w:firstLineChars="200"/>
        <w:rPr>
          <w:rFonts w:hint="eastAsia"/>
          <w:b/>
          <w:bCs/>
          <w:i/>
          <w:iCs/>
          <w:color w:val="auto"/>
          <w:szCs w:val="21"/>
          <w:highlight w:val="none"/>
          <w:lang w:eastAsia="zh-CN"/>
        </w:rPr>
      </w:pPr>
      <w:bookmarkStart w:id="245" w:name="_40.1投标人接到中标通知书后，按须知前附表规定向采购人出示相关资格证"/>
      <w:bookmarkEnd w:id="245"/>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pPr>
        <w:pStyle w:val="30"/>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pPr>
        <w:spacing w:line="360" w:lineRule="auto"/>
        <w:ind w:firstLine="480" w:firstLineChars="200"/>
        <w:rPr>
          <w:rFonts w:hint="eastAsia" w:ascii="黑体" w:hAnsi="黑体" w:eastAsia="黑体" w:cs="Times New Roman"/>
          <w:color w:val="auto"/>
          <w:sz w:val="24"/>
          <w:highlight w:val="none"/>
        </w:rPr>
      </w:pPr>
      <w:bookmarkStart w:id="246" w:name="_41.政府采购合同公告"/>
      <w:bookmarkEnd w:id="246"/>
      <w:r>
        <w:rPr>
          <w:rFonts w:hint="eastAsia" w:ascii="黑体" w:hAnsi="黑体" w:eastAsia="黑体" w:cs="Times New Roman"/>
          <w:color w:val="auto"/>
          <w:sz w:val="24"/>
          <w:highlight w:val="none"/>
        </w:rPr>
        <w:t>37.政府采购合同公告</w:t>
      </w:r>
    </w:p>
    <w:p>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w:t>
      </w:r>
      <w:r>
        <w:rPr>
          <w:rFonts w:hint="eastAsia" w:ascii="宋体" w:hAnsi="宋体" w:eastAsia="宋体" w:cs="Times New Roman"/>
          <w:b/>
          <w:color w:val="auto"/>
          <w:szCs w:val="21"/>
          <w:highlight w:val="none"/>
        </w:rPr>
        <w:t>书面形式向</w:t>
      </w:r>
      <w:r>
        <w:rPr>
          <w:rFonts w:hint="eastAsia" w:ascii="宋体" w:hAnsi="宋体" w:eastAsia="宋体" w:cs="Times New Roman"/>
          <w:b/>
          <w:color w:val="auto"/>
          <w:szCs w:val="21"/>
          <w:highlight w:val="none"/>
        </w:rPr>
        <w:t>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w:t>
      </w:r>
      <w:bookmarkStart w:id="445" w:name="_GoBack"/>
      <w:r>
        <w:rPr>
          <w:rFonts w:hint="eastAsia" w:ascii="宋体" w:hAnsi="宋体" w:eastAsia="宋体" w:cs="宋体"/>
          <w:bCs/>
          <w:color w:val="auto"/>
          <w:highlight w:val="none"/>
        </w:rPr>
        <w:t>成交</w:t>
      </w:r>
      <w:bookmarkEnd w:id="445"/>
      <w:r>
        <w:rPr>
          <w:rFonts w:hint="eastAsia" w:ascii="宋体" w:hAnsi="宋体" w:eastAsia="宋体" w:cs="宋体"/>
          <w:bCs/>
          <w:color w:val="auto"/>
          <w:highlight w:val="none"/>
        </w:rPr>
        <w:t>结果使自己的权益受到损害的，应当在中标或者成交结果公告期限届满之日起7个工作日内提出质疑，由采购人受理并负责答复。</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pPr>
        <w:spacing w:line="360" w:lineRule="auto"/>
        <w:ind w:firstLine="422" w:firstLineChars="200"/>
        <w:rPr>
          <w:rFonts w:ascii="宋体" w:hAnsi="宋体" w:eastAsia="宋体" w:cs="Times New Roman"/>
          <w:b/>
          <w:bCs/>
          <w:color w:val="auto"/>
          <w:szCs w:val="21"/>
          <w:highlight w:val="none"/>
        </w:rPr>
      </w:pPr>
      <w:bookmarkStart w:id="247" w:name="_9.2质疑、投诉应当采用书面形式，质疑函、投诉书均应明确阐述招标文件、"/>
      <w:bookmarkEnd w:id="247"/>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
          <w:color w:val="auto"/>
          <w:highlight w:val="none"/>
        </w:rPr>
        <w:t xml:space="preserve">.2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
          <w:color w:val="auto"/>
          <w:highlight w:val="none"/>
        </w:rPr>
        <w:t xml:space="preserve">.3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w:t>
      </w:r>
      <w:r>
        <w:rPr>
          <w:rFonts w:hint="eastAsia" w:ascii="宋体" w:hAnsi="宋体" w:eastAsia="宋体" w:cs="宋体"/>
          <w:b/>
          <w:color w:val="auto"/>
          <w:highlight w:val="none"/>
        </w:rPr>
        <w:t>.4</w:t>
      </w:r>
      <w:r>
        <w:rPr>
          <w:rFonts w:hint="eastAsia" w:ascii="宋体" w:hAnsi="宋体" w:eastAsia="宋体" w:cs="宋体"/>
          <w:color w:val="auto"/>
          <w:highlight w:val="none"/>
        </w:rPr>
        <w:t xml:space="preserve">  投诉人提起投诉应当符合下列条件：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8" w:name="_Toc26583"/>
      <w:bookmarkStart w:id="249" w:name="_Toc23239"/>
      <w:bookmarkStart w:id="250" w:name="_Toc14937"/>
      <w:bookmarkStart w:id="251" w:name="_Toc29288"/>
      <w:bookmarkStart w:id="252" w:name="_Toc25946"/>
      <w:bookmarkStart w:id="253" w:name="_Toc27653"/>
      <w:bookmarkStart w:id="254" w:name="_Toc1756"/>
      <w:bookmarkStart w:id="255" w:name="_Toc13659"/>
      <w:bookmarkStart w:id="256" w:name="_Toc7828"/>
      <w:bookmarkStart w:id="257" w:name="_Toc8731"/>
      <w:r>
        <w:rPr>
          <w:rFonts w:hint="eastAsia" w:ascii="Times New Roman" w:hAnsi="Times New Roman" w:eastAsia="宋体" w:cs="Times New Roman"/>
          <w:b/>
          <w:bCs/>
          <w:color w:val="auto"/>
          <w:sz w:val="32"/>
          <w:szCs w:val="32"/>
          <w:highlight w:val="none"/>
        </w:rPr>
        <w:t>八、验收</w:t>
      </w:r>
      <w:bookmarkEnd w:id="248"/>
      <w:bookmarkEnd w:id="249"/>
      <w:bookmarkEnd w:id="250"/>
      <w:bookmarkEnd w:id="251"/>
      <w:bookmarkEnd w:id="252"/>
      <w:bookmarkEnd w:id="253"/>
      <w:bookmarkEnd w:id="254"/>
      <w:bookmarkEnd w:id="255"/>
      <w:bookmarkEnd w:id="256"/>
      <w:bookmarkEnd w:id="257"/>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pPr>
        <w:pStyle w:val="13"/>
        <w:snapToGrid w:val="0"/>
        <w:spacing w:line="400" w:lineRule="exact"/>
        <w:rPr>
          <w:rFonts w:hAnsi="宋体" w:eastAsia="宋体" w:cs="Times New Roman"/>
          <w:color w:val="auto"/>
          <w:highlight w:val="none"/>
        </w:rPr>
      </w:pPr>
    </w:p>
    <w:p>
      <w:pPr>
        <w:pStyle w:val="4"/>
        <w:keepNext w:val="0"/>
        <w:keepLines w:val="0"/>
        <w:spacing w:line="360" w:lineRule="auto"/>
        <w:jc w:val="center"/>
        <w:rPr>
          <w:rFonts w:hint="eastAsia" w:ascii="Times New Roman" w:hAnsi="Times New Roman" w:eastAsia="宋体" w:cs="Times New Roman"/>
          <w:color w:val="auto"/>
          <w:highlight w:val="none"/>
        </w:rPr>
      </w:pPr>
      <w:bookmarkStart w:id="258" w:name="_八、其他事项"/>
      <w:bookmarkEnd w:id="258"/>
      <w:bookmarkStart w:id="259" w:name="_Toc27249"/>
      <w:bookmarkStart w:id="260" w:name="_Toc32163"/>
      <w:bookmarkStart w:id="261" w:name="_Toc16509"/>
      <w:bookmarkStart w:id="262" w:name="_Toc24348"/>
      <w:bookmarkStart w:id="263" w:name="_Toc31560"/>
      <w:bookmarkStart w:id="264" w:name="_Toc5795"/>
      <w:bookmarkStart w:id="265" w:name="_Toc14814"/>
      <w:bookmarkStart w:id="266" w:name="_Toc13612"/>
      <w:bookmarkStart w:id="267" w:name="_Toc28972"/>
      <w:bookmarkStart w:id="268" w:name="_Toc13217"/>
      <w:r>
        <w:rPr>
          <w:rFonts w:hint="eastAsia" w:ascii="Times New Roman" w:hAnsi="Times New Roman" w:eastAsia="宋体" w:cs="Times New Roman"/>
          <w:color w:val="auto"/>
          <w:highlight w:val="none"/>
        </w:rPr>
        <w:t>九、其他事项</w:t>
      </w:r>
      <w:bookmarkEnd w:id="259"/>
      <w:bookmarkEnd w:id="260"/>
      <w:bookmarkEnd w:id="261"/>
      <w:bookmarkEnd w:id="262"/>
      <w:bookmarkEnd w:id="263"/>
      <w:bookmarkEnd w:id="264"/>
      <w:bookmarkEnd w:id="265"/>
      <w:bookmarkEnd w:id="266"/>
      <w:bookmarkEnd w:id="267"/>
      <w:bookmarkEnd w:id="268"/>
    </w:p>
    <w:p>
      <w:pPr>
        <w:spacing w:line="360" w:lineRule="auto"/>
        <w:ind w:firstLine="480" w:firstLineChars="200"/>
        <w:rPr>
          <w:rFonts w:ascii="黑体" w:hAnsi="黑体" w:eastAsia="黑体" w:cs="Times New Roman"/>
          <w:color w:val="auto"/>
          <w:sz w:val="24"/>
          <w:highlight w:val="none"/>
        </w:rPr>
      </w:pPr>
      <w:bookmarkStart w:id="269" w:name="_42.代理服务费"/>
      <w:bookmarkEnd w:id="269"/>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pPr>
        <w:pStyle w:val="13"/>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pPr>
        <w:pStyle w:val="14"/>
        <w:rPr>
          <w:rFonts w:hint="eastAsia"/>
          <w:color w:val="auto"/>
          <w:highlight w:val="none"/>
        </w:rPr>
      </w:pP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pPr>
        <w:spacing w:line="580" w:lineRule="exact"/>
        <w:jc w:val="center"/>
        <w:rPr>
          <w:rFonts w:hint="eastAsia" w:ascii="宋体" w:hAnsi="宋体" w:eastAsia="宋体" w:cs="宋体"/>
          <w:color w:val="auto"/>
          <w:sz w:val="44"/>
          <w:szCs w:val="44"/>
          <w:highlight w:val="none"/>
        </w:rPr>
      </w:pPr>
    </w:p>
    <w:p>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ind w:firstLine="420" w:firstLineChars="200"/>
        <w:rPr>
          <w:rFonts w:hint="eastAsia" w:ascii="宋体" w:hAnsi="宋体" w:cs="宋体"/>
          <w:color w:val="auto"/>
          <w:szCs w:val="32"/>
          <w:highlight w:val="none"/>
        </w:rPr>
      </w:pPr>
    </w:p>
    <w:p>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6"/>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70" w:name="_Toc532545043"/>
    </w:p>
    <w:p>
      <w:pPr>
        <w:pStyle w:val="13"/>
        <w:jc w:val="center"/>
        <w:outlineLvl w:val="0"/>
        <w:rPr>
          <w:rFonts w:hint="eastAsia" w:ascii="Times New Roman" w:hAnsi="Times New Roman" w:eastAsia="宋体" w:cs="Times New Roman"/>
          <w:b/>
          <w:color w:val="auto"/>
          <w:sz w:val="36"/>
          <w:highlight w:val="none"/>
          <w:lang w:eastAsia="zh-CN"/>
        </w:rPr>
      </w:pPr>
      <w:bookmarkStart w:id="271" w:name="_Toc24569"/>
      <w:bookmarkStart w:id="272" w:name="_Toc26567"/>
      <w:bookmarkStart w:id="273" w:name="_Toc2789"/>
      <w:bookmarkStart w:id="274" w:name="_Toc12751"/>
      <w:bookmarkStart w:id="275" w:name="_Toc14666"/>
      <w:bookmarkStart w:id="276" w:name="_Toc11694"/>
      <w:bookmarkStart w:id="277" w:name="_Toc31952"/>
      <w:bookmarkStart w:id="278" w:name="_Toc18631"/>
      <w:bookmarkStart w:id="279" w:name="_Toc28468"/>
      <w:bookmarkStart w:id="280" w:name="_Toc3584"/>
      <w:bookmarkStart w:id="281" w:name="_Toc19117"/>
      <w:bookmarkStart w:id="282" w:name="_Toc10118"/>
      <w:bookmarkStart w:id="283" w:name="_Toc1003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70"/>
      <w:bookmarkEnd w:id="271"/>
      <w:bookmarkEnd w:id="272"/>
      <w:bookmarkEnd w:id="273"/>
      <w:bookmarkEnd w:id="274"/>
      <w:bookmarkEnd w:id="275"/>
      <w:bookmarkEnd w:id="276"/>
      <w:bookmarkEnd w:id="277"/>
      <w:bookmarkEnd w:id="278"/>
      <w:r>
        <w:rPr>
          <w:rFonts w:hint="eastAsia" w:ascii="Times New Roman" w:hAnsi="Times New Roman" w:cs="Times New Roman"/>
          <w:b/>
          <w:color w:val="auto"/>
          <w:sz w:val="36"/>
          <w:highlight w:val="none"/>
          <w:lang w:eastAsia="zh-CN"/>
        </w:rPr>
        <w:t>评标方法和评标标准</w:t>
      </w:r>
      <w:bookmarkEnd w:id="279"/>
      <w:bookmarkEnd w:id="280"/>
      <w:bookmarkEnd w:id="281"/>
      <w:bookmarkEnd w:id="282"/>
      <w:bookmarkEnd w:id="283"/>
    </w:p>
    <w:p>
      <w:pPr>
        <w:pStyle w:val="13"/>
        <w:jc w:val="center"/>
        <w:outlineLvl w:val="1"/>
        <w:rPr>
          <w:rFonts w:ascii="Times New Roman" w:hAnsi="Times New Roman" w:eastAsia="宋体" w:cs="Times New Roman"/>
          <w:b/>
          <w:bCs/>
          <w:color w:val="auto"/>
          <w:sz w:val="32"/>
          <w:szCs w:val="32"/>
          <w:highlight w:val="none"/>
        </w:rPr>
      </w:pPr>
      <w:bookmarkStart w:id="284" w:name="_Toc28074"/>
      <w:bookmarkStart w:id="285" w:name="_Toc9604"/>
      <w:bookmarkStart w:id="286" w:name="_Toc29945"/>
      <w:bookmarkStart w:id="287" w:name="_Toc12345"/>
      <w:bookmarkStart w:id="288" w:name="_Toc20519"/>
      <w:bookmarkStart w:id="289" w:name="_Toc6104"/>
      <w:bookmarkStart w:id="290" w:name="_Toc5889"/>
      <w:bookmarkStart w:id="291" w:name="_Toc14342"/>
      <w:bookmarkStart w:id="292" w:name="_Toc3574"/>
      <w:bookmarkStart w:id="293" w:name="_Toc28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84"/>
      <w:bookmarkEnd w:id="285"/>
      <w:bookmarkEnd w:id="286"/>
      <w:bookmarkEnd w:id="287"/>
      <w:bookmarkEnd w:id="288"/>
      <w:bookmarkEnd w:id="289"/>
      <w:bookmarkEnd w:id="290"/>
      <w:bookmarkEnd w:id="291"/>
      <w:bookmarkEnd w:id="292"/>
      <w:bookmarkEnd w:id="293"/>
    </w:p>
    <w:p>
      <w:pPr>
        <w:pStyle w:val="13"/>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pPr>
        <w:pStyle w:val="13"/>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pPr>
        <w:pStyle w:val="13"/>
        <w:spacing w:line="360" w:lineRule="auto"/>
        <w:ind w:firstLine="420"/>
        <w:rPr>
          <w:rFonts w:hint="eastAsia" w:hAnsi="宋体" w:eastAsia="宋体" w:cs="Times New Roman"/>
          <w:color w:val="auto"/>
          <w:highlight w:val="none"/>
        </w:rPr>
      </w:pPr>
    </w:p>
    <w:p>
      <w:pPr>
        <w:pStyle w:val="13"/>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94" w:name="_Toc588"/>
      <w:bookmarkStart w:id="295" w:name="_Toc9023"/>
      <w:bookmarkStart w:id="296" w:name="_Toc24507"/>
      <w:bookmarkStart w:id="297" w:name="_Toc23151"/>
      <w:bookmarkStart w:id="298" w:name="_Toc9259"/>
      <w:bookmarkStart w:id="299" w:name="_Toc1643"/>
      <w:bookmarkStart w:id="300" w:name="_Toc30114"/>
      <w:bookmarkStart w:id="301" w:name="_Toc4190"/>
      <w:bookmarkStart w:id="302" w:name="_Toc18477"/>
      <w:bookmarkStart w:id="303" w:name="_Toc10545"/>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94"/>
      <w:bookmarkEnd w:id="295"/>
      <w:bookmarkEnd w:id="296"/>
      <w:bookmarkEnd w:id="297"/>
      <w:bookmarkEnd w:id="298"/>
      <w:bookmarkEnd w:id="299"/>
      <w:bookmarkEnd w:id="300"/>
      <w:bookmarkEnd w:id="301"/>
      <w:bookmarkEnd w:id="302"/>
      <w:bookmarkEnd w:id="303"/>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pPr>
        <w:widowControl/>
        <w:numPr>
          <w:ilvl w:val="0"/>
          <w:numId w:val="3"/>
        </w:numPr>
        <w:spacing w:after="150" w:line="48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
        <w:jc w:val="center"/>
        <w:rPr>
          <w:rFonts w:hint="eastAsia" w:ascii="Times New Roman" w:hAnsi="Times New Roman" w:eastAsia="宋体" w:cs="Times New Roman"/>
          <w:b/>
          <w:color w:val="auto"/>
          <w:sz w:val="30"/>
          <w:szCs w:val="30"/>
          <w:highlight w:val="none"/>
        </w:rPr>
      </w:pPr>
      <w:bookmarkStart w:id="304" w:name="_Toc13548"/>
      <w:bookmarkStart w:id="305" w:name="_Toc19942"/>
      <w:bookmarkStart w:id="306" w:name="_Toc28829"/>
      <w:bookmarkStart w:id="307" w:name="_Toc22963"/>
      <w:bookmarkStart w:id="308" w:name="_Toc17834"/>
      <w:bookmarkStart w:id="309" w:name="_Toc28193"/>
      <w:bookmarkStart w:id="310" w:name="_Toc4866"/>
      <w:bookmarkStart w:id="311" w:name="_Toc5755"/>
      <w:bookmarkStart w:id="312" w:name="_Toc27331"/>
      <w:bookmarkStart w:id="313" w:name="_Toc25728"/>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304"/>
      <w:bookmarkEnd w:id="305"/>
      <w:bookmarkEnd w:id="306"/>
      <w:bookmarkEnd w:id="307"/>
      <w:bookmarkEnd w:id="308"/>
      <w:bookmarkEnd w:id="309"/>
      <w:bookmarkEnd w:id="310"/>
      <w:bookmarkEnd w:id="311"/>
      <w:bookmarkEnd w:id="312"/>
      <w:bookmarkEnd w:id="313"/>
    </w:p>
    <w:p>
      <w:pPr>
        <w:pStyle w:val="13"/>
        <w:ind w:firstLine="602" w:firstLineChars="200"/>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pPr>
        <w:spacing w:line="360" w:lineRule="auto"/>
        <w:ind w:firstLine="420"/>
        <w:rPr>
          <w:rFonts w:hint="eastAsia" w:ascii="宋体" w:hAnsi="宋体" w:eastAsia="宋体" w:cs="Times New Roman"/>
          <w:bCs/>
          <w:color w:val="auto"/>
          <w:szCs w:val="20"/>
          <w:highlight w:val="none"/>
        </w:rPr>
      </w:pPr>
    </w:p>
    <w:p>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09"/>
        <w:gridCol w:w="622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2"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序号</w:t>
            </w:r>
          </w:p>
        </w:tc>
        <w:tc>
          <w:tcPr>
            <w:tcW w:w="1809"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222"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915"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jc w:val="center"/>
        </w:trPr>
        <w:tc>
          <w:tcPr>
            <w:tcW w:w="562" w:type="dxa"/>
            <w:noWrap w:val="0"/>
            <w:vAlign w:val="center"/>
          </w:tcPr>
          <w:p>
            <w:pPr>
              <w:adjustRightInd w:val="0"/>
              <w:spacing w:line="360" w:lineRule="auto"/>
              <w:jc w:val="center"/>
              <w:textAlignment w:val="baseline"/>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809" w:type="dxa"/>
            <w:noWrap w:val="0"/>
            <w:vAlign w:val="center"/>
          </w:tcPr>
          <w:p>
            <w:pPr>
              <w:widowControl/>
              <w:snapToGrid w:val="0"/>
              <w:spacing w:line="360" w:lineRule="auto"/>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技术</w:t>
            </w:r>
          </w:p>
        </w:tc>
        <w:tc>
          <w:tcPr>
            <w:tcW w:w="622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项目实施方案分（满分</w:t>
            </w:r>
            <w:r>
              <w:rPr>
                <w:rFonts w:hint="eastAsia" w:ascii="宋体" w:hAnsi="宋体" w:cs="宋体"/>
                <w:bCs/>
                <w:color w:val="auto"/>
                <w:kern w:val="0"/>
                <w:sz w:val="21"/>
                <w:szCs w:val="21"/>
                <w:highlight w:val="none"/>
                <w:lang w:val="en-US" w:eastAsia="zh-CN" w:bidi="ar-SA"/>
              </w:rPr>
              <w:t>18</w:t>
            </w:r>
            <w:r>
              <w:rPr>
                <w:rFonts w:hint="eastAsia" w:ascii="宋体" w:hAnsi="宋体" w:eastAsia="宋体" w:cs="宋体"/>
                <w:bCs/>
                <w:color w:val="auto"/>
                <w:kern w:val="0"/>
                <w:sz w:val="21"/>
                <w:szCs w:val="21"/>
                <w:highlight w:val="none"/>
                <w:lang w:val="en-US" w:eastAsia="zh-CN" w:bidi="ar-SA"/>
              </w:rPr>
              <w:t>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分）：制定</w:t>
            </w:r>
            <w:r>
              <w:rPr>
                <w:rFonts w:hint="eastAsia" w:ascii="宋体" w:hAnsi="宋体" w:cs="宋体"/>
                <w:bCs/>
                <w:color w:val="auto"/>
                <w:kern w:val="0"/>
                <w:sz w:val="21"/>
                <w:szCs w:val="21"/>
                <w:highlight w:val="none"/>
                <w:lang w:val="en-US" w:eastAsia="zh-CN" w:bidi="ar-SA"/>
              </w:rPr>
              <w:t>了</w:t>
            </w:r>
            <w:r>
              <w:rPr>
                <w:rFonts w:hint="eastAsia" w:ascii="宋体" w:hAnsi="宋体" w:eastAsia="宋体" w:cs="宋体"/>
                <w:bCs/>
                <w:color w:val="auto"/>
                <w:kern w:val="0"/>
                <w:sz w:val="21"/>
                <w:szCs w:val="21"/>
                <w:highlight w:val="none"/>
                <w:lang w:val="en-US" w:eastAsia="zh-CN" w:bidi="ar-SA"/>
              </w:rPr>
              <w:t>项目实施方案，服务程序规范、专业，具有可行性和可操作性；</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分）：根据对项目总体要求的理解制定</w:t>
            </w:r>
            <w:r>
              <w:rPr>
                <w:rFonts w:hint="eastAsia" w:ascii="宋体" w:hAnsi="宋体" w:cs="宋体"/>
                <w:bCs/>
                <w:color w:val="auto"/>
                <w:kern w:val="0"/>
                <w:sz w:val="21"/>
                <w:szCs w:val="21"/>
                <w:highlight w:val="none"/>
                <w:lang w:val="en-US" w:eastAsia="zh-CN" w:bidi="ar-SA"/>
              </w:rPr>
              <w:t>了</w:t>
            </w:r>
            <w:r>
              <w:rPr>
                <w:rFonts w:hint="eastAsia" w:ascii="宋体" w:hAnsi="宋体" w:eastAsia="宋体" w:cs="宋体"/>
                <w:bCs/>
                <w:color w:val="auto"/>
                <w:kern w:val="0"/>
                <w:sz w:val="21"/>
                <w:szCs w:val="21"/>
                <w:highlight w:val="none"/>
                <w:lang w:val="en-US" w:eastAsia="zh-CN" w:bidi="ar-SA"/>
              </w:rPr>
              <w:t>项目实施方案，包括工作思路、场地保障、师资保障、人员配备、后勤保障、服务承诺，能够满足服务内容和要求；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w:t>
            </w:r>
            <w:r>
              <w:rPr>
                <w:rFonts w:hint="eastAsia" w:ascii="宋体" w:hAnsi="宋体" w:cs="宋体"/>
                <w:bCs/>
                <w:color w:val="auto"/>
                <w:kern w:val="0"/>
                <w:sz w:val="21"/>
                <w:szCs w:val="21"/>
                <w:highlight w:val="none"/>
                <w:lang w:val="en-US" w:eastAsia="zh-CN" w:bidi="ar-SA"/>
              </w:rPr>
              <w:t>13</w:t>
            </w:r>
            <w:r>
              <w:rPr>
                <w:rFonts w:hint="eastAsia" w:ascii="宋体" w:hAnsi="宋体" w:eastAsia="宋体" w:cs="宋体"/>
                <w:bCs/>
                <w:color w:val="auto"/>
                <w:kern w:val="0"/>
                <w:sz w:val="21"/>
                <w:szCs w:val="21"/>
                <w:highlight w:val="none"/>
                <w:lang w:val="en-US" w:eastAsia="zh-CN" w:bidi="ar-SA"/>
              </w:rPr>
              <w:t>分）：根据对项目总体要求的理解制定项目实施方案，包括工作思路、场地保障、师资保障、人员配备、后勤保障、服务承诺</w:t>
            </w:r>
            <w:r>
              <w:rPr>
                <w:rFonts w:hint="eastAsia" w:ascii="宋体" w:hAnsi="宋体" w:cs="宋体"/>
                <w:bCs/>
                <w:color w:val="auto"/>
                <w:kern w:val="0"/>
                <w:sz w:val="21"/>
                <w:szCs w:val="21"/>
                <w:highlight w:val="none"/>
                <w:lang w:val="en-US" w:eastAsia="zh-CN" w:bidi="ar-SA"/>
              </w:rPr>
              <w:t>，制定了详细的</w:t>
            </w:r>
            <w:r>
              <w:rPr>
                <w:rFonts w:hint="eastAsia" w:ascii="宋体" w:hAnsi="宋体" w:eastAsia="宋体" w:cs="宋体"/>
                <w:bCs/>
                <w:color w:val="auto"/>
                <w:kern w:val="0"/>
                <w:sz w:val="21"/>
                <w:szCs w:val="21"/>
                <w:highlight w:val="none"/>
                <w:lang w:val="en-US" w:eastAsia="zh-CN" w:bidi="ar-SA"/>
              </w:rPr>
              <w:t>应急处置预案</w:t>
            </w:r>
            <w:r>
              <w:rPr>
                <w:rFonts w:hint="eastAsia" w:ascii="宋体" w:hAnsi="宋体" w:cs="宋体"/>
                <w:bCs/>
                <w:color w:val="auto"/>
                <w:kern w:val="0"/>
                <w:sz w:val="21"/>
                <w:szCs w:val="21"/>
                <w:highlight w:val="none"/>
                <w:lang w:val="en-US" w:eastAsia="zh-CN" w:bidi="ar-SA"/>
              </w:rPr>
              <w:t>，具有可行性</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项目实施</w:t>
            </w:r>
            <w:r>
              <w:rPr>
                <w:rFonts w:hint="eastAsia" w:ascii="宋体" w:hAnsi="宋体" w:eastAsia="宋体" w:cs="宋体"/>
                <w:bCs/>
                <w:color w:val="auto"/>
                <w:kern w:val="0"/>
                <w:sz w:val="21"/>
                <w:szCs w:val="21"/>
                <w:highlight w:val="none"/>
                <w:lang w:val="en-US" w:eastAsia="zh-CN" w:bidi="ar-SA"/>
              </w:rPr>
              <w:t>规划合理，</w:t>
            </w:r>
            <w:r>
              <w:rPr>
                <w:rFonts w:hint="eastAsia" w:ascii="宋体" w:hAnsi="宋体" w:cs="宋体"/>
                <w:bCs/>
                <w:color w:val="auto"/>
                <w:kern w:val="0"/>
                <w:sz w:val="21"/>
                <w:szCs w:val="21"/>
                <w:highlight w:val="none"/>
                <w:lang w:val="en-US" w:eastAsia="zh-CN" w:bidi="ar-SA"/>
              </w:rPr>
              <w:t>能提出</w:t>
            </w:r>
            <w:r>
              <w:rPr>
                <w:rFonts w:hint="eastAsia" w:ascii="宋体" w:hAnsi="宋体" w:eastAsia="宋体" w:cs="宋体"/>
                <w:bCs/>
                <w:color w:val="auto"/>
                <w:kern w:val="0"/>
                <w:sz w:val="21"/>
                <w:szCs w:val="21"/>
                <w:highlight w:val="none"/>
                <w:lang w:val="en-US" w:eastAsia="zh-CN" w:bidi="ar-SA"/>
              </w:rPr>
              <w:t>符合项目的实际情的针对性举措；</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四档（</w:t>
            </w:r>
            <w:r>
              <w:rPr>
                <w:rFonts w:hint="eastAsia" w:ascii="宋体" w:hAnsi="宋体" w:cs="宋体"/>
                <w:bCs/>
                <w:color w:val="auto"/>
                <w:kern w:val="0"/>
                <w:sz w:val="21"/>
                <w:szCs w:val="21"/>
                <w:highlight w:val="none"/>
                <w:lang w:val="en-US" w:eastAsia="zh-CN" w:bidi="ar-SA"/>
              </w:rPr>
              <w:t>18</w:t>
            </w:r>
            <w:r>
              <w:rPr>
                <w:rFonts w:hint="eastAsia" w:ascii="宋体" w:hAnsi="宋体" w:eastAsia="宋体" w:cs="宋体"/>
                <w:bCs/>
                <w:color w:val="auto"/>
                <w:kern w:val="0"/>
                <w:sz w:val="21"/>
                <w:szCs w:val="21"/>
                <w:highlight w:val="none"/>
                <w:lang w:val="en-US" w:eastAsia="zh-CN" w:bidi="ar-SA"/>
              </w:rPr>
              <w:t>分）：在三档的基础上，拥有成熟的网络报名平台、学习平台等可辅助项目</w:t>
            </w:r>
            <w:r>
              <w:rPr>
                <w:rFonts w:hint="eastAsia" w:ascii="宋体" w:hAnsi="宋体" w:cs="宋体"/>
                <w:bCs/>
                <w:color w:val="auto"/>
                <w:kern w:val="0"/>
                <w:sz w:val="21"/>
                <w:szCs w:val="21"/>
                <w:highlight w:val="none"/>
                <w:lang w:val="en-US" w:eastAsia="zh-CN" w:bidi="ar-SA"/>
              </w:rPr>
              <w:t>高质量实施</w:t>
            </w:r>
            <w:r>
              <w:rPr>
                <w:rFonts w:hint="eastAsia" w:ascii="宋体" w:hAnsi="宋体" w:eastAsia="宋体" w:cs="宋体"/>
                <w:bCs/>
                <w:color w:val="auto"/>
                <w:kern w:val="0"/>
                <w:sz w:val="21"/>
                <w:szCs w:val="21"/>
                <w:highlight w:val="none"/>
                <w:lang w:val="en-US" w:eastAsia="zh-CN" w:bidi="ar-SA"/>
              </w:rPr>
              <w:t>的技术条件，</w:t>
            </w:r>
            <w:r>
              <w:rPr>
                <w:rFonts w:hint="eastAsia" w:ascii="宋体" w:hAnsi="宋体" w:cs="宋体"/>
                <w:bCs/>
                <w:color w:val="auto"/>
                <w:kern w:val="0"/>
                <w:sz w:val="21"/>
                <w:szCs w:val="21"/>
                <w:highlight w:val="none"/>
                <w:lang w:val="en-US" w:eastAsia="zh-CN" w:bidi="ar-SA"/>
              </w:rPr>
              <w:t>能</w:t>
            </w:r>
            <w:r>
              <w:rPr>
                <w:rFonts w:hint="eastAsia" w:ascii="宋体" w:hAnsi="宋体" w:eastAsia="宋体" w:cs="宋体"/>
                <w:bCs/>
                <w:color w:val="auto"/>
                <w:kern w:val="0"/>
                <w:sz w:val="21"/>
                <w:szCs w:val="21"/>
                <w:highlight w:val="none"/>
                <w:lang w:val="en-US" w:eastAsia="zh-CN" w:bidi="ar-SA"/>
              </w:rPr>
              <w:t>增加有助于参训学员就业创业的服务保障或其他特色培训内容；</w:t>
            </w:r>
            <w:r>
              <w:rPr>
                <w:rFonts w:hint="eastAsia" w:ascii="宋体" w:hAnsi="宋体" w:cs="宋体"/>
                <w:bCs/>
                <w:color w:val="auto"/>
                <w:kern w:val="0"/>
                <w:sz w:val="21"/>
                <w:szCs w:val="21"/>
                <w:highlight w:val="none"/>
                <w:lang w:val="en-US" w:eastAsia="zh-CN" w:bidi="ar-SA"/>
              </w:rPr>
              <w:t>有详细的</w:t>
            </w:r>
            <w:r>
              <w:rPr>
                <w:rFonts w:hint="eastAsia" w:ascii="宋体" w:hAnsi="宋体" w:eastAsia="宋体" w:cs="宋体"/>
                <w:bCs/>
                <w:color w:val="auto"/>
                <w:kern w:val="0"/>
                <w:sz w:val="21"/>
                <w:szCs w:val="21"/>
                <w:highlight w:val="none"/>
                <w:lang w:val="en-US" w:eastAsia="zh-CN" w:bidi="ar-SA"/>
              </w:rPr>
              <w:t>项目进度设计，能充分体现内容与目标之间清晰的逻辑关系。</w:t>
            </w:r>
          </w:p>
        </w:tc>
        <w:tc>
          <w:tcPr>
            <w:tcW w:w="915" w:type="dxa"/>
            <w:noWrap w:val="0"/>
            <w:vAlign w:val="center"/>
          </w:tcPr>
          <w:p>
            <w:pPr>
              <w:widowControl/>
              <w:snapToGrid w:val="0"/>
              <w:spacing w:line="360" w:lineRule="auto"/>
              <w:jc w:val="center"/>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562" w:type="dxa"/>
            <w:noWrap w:val="0"/>
            <w:vAlign w:val="center"/>
          </w:tcPr>
          <w:p>
            <w:pPr>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809" w:type="dxa"/>
            <w:noWrap w:val="0"/>
            <w:vAlign w:val="center"/>
          </w:tcPr>
          <w:p>
            <w:pPr>
              <w:widowControl/>
              <w:snapToGrid w:val="0"/>
              <w:spacing w:line="360" w:lineRule="auto"/>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技术</w:t>
            </w:r>
          </w:p>
        </w:tc>
        <w:tc>
          <w:tcPr>
            <w:tcW w:w="622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培训课程</w:t>
            </w:r>
            <w:r>
              <w:rPr>
                <w:rFonts w:hint="eastAsia" w:ascii="宋体" w:hAnsi="宋体" w:cs="宋体"/>
                <w:bCs/>
                <w:color w:val="auto"/>
                <w:kern w:val="0"/>
                <w:sz w:val="21"/>
                <w:szCs w:val="21"/>
                <w:highlight w:val="none"/>
                <w:lang w:val="en-US" w:eastAsia="zh-CN" w:bidi="ar-SA"/>
              </w:rPr>
              <w:t>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lang w:val="en-US" w:eastAsia="zh-CN" w:bidi="ar-SA"/>
              </w:rPr>
              <w:t>15</w:t>
            </w:r>
            <w:r>
              <w:rPr>
                <w:rFonts w:hint="eastAsia" w:ascii="宋体" w:hAnsi="宋体" w:eastAsia="宋体" w:cs="宋体"/>
                <w:bCs/>
                <w:color w:val="auto"/>
                <w:kern w:val="0"/>
                <w:sz w:val="21"/>
                <w:szCs w:val="21"/>
                <w:highlight w:val="none"/>
                <w:lang w:val="en-US" w:eastAsia="zh-CN" w:bidi="ar-SA"/>
              </w:rPr>
              <w:t>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分）：培训课程围绕培训目标和培训内容展开，但内容简单，对备选课程有简单描述；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en-US" w:eastAsia="zh-CN" w:bidi="ar-SA"/>
              </w:rPr>
              <w:t>分）：培训课程目标定位合理，培训内容详细，课程模块设置之间的逻辑关系清晰，有针对性，有备选课程；</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w:t>
            </w:r>
            <w:r>
              <w:rPr>
                <w:rFonts w:hint="eastAsia" w:ascii="宋体" w:hAnsi="宋体" w:cs="宋体"/>
                <w:bCs/>
                <w:color w:val="auto"/>
                <w:kern w:val="0"/>
                <w:sz w:val="21"/>
                <w:szCs w:val="21"/>
                <w:highlight w:val="none"/>
                <w:lang w:val="en-US" w:eastAsia="zh-CN" w:bidi="ar-SA"/>
              </w:rPr>
              <w:t>15</w:t>
            </w:r>
            <w:r>
              <w:rPr>
                <w:rFonts w:hint="eastAsia" w:ascii="宋体" w:hAnsi="宋体" w:eastAsia="宋体" w:cs="宋体"/>
                <w:bCs/>
                <w:color w:val="auto"/>
                <w:kern w:val="0"/>
                <w:sz w:val="21"/>
                <w:szCs w:val="21"/>
                <w:highlight w:val="none"/>
                <w:lang w:val="en-US" w:eastAsia="zh-CN" w:bidi="ar-SA"/>
              </w:rPr>
              <w:t>分）：培训课程目标定位合理清晰、</w:t>
            </w:r>
            <w:r>
              <w:rPr>
                <w:rFonts w:hint="eastAsia" w:ascii="宋体" w:hAnsi="宋体" w:cs="宋体"/>
                <w:bCs/>
                <w:color w:val="auto"/>
                <w:kern w:val="0"/>
                <w:sz w:val="21"/>
                <w:szCs w:val="21"/>
                <w:highlight w:val="none"/>
                <w:lang w:val="en-US" w:eastAsia="zh-CN" w:bidi="ar-SA"/>
              </w:rPr>
              <w:t>有</w:t>
            </w:r>
            <w:r>
              <w:rPr>
                <w:rFonts w:hint="eastAsia" w:ascii="宋体" w:hAnsi="宋体" w:eastAsia="宋体" w:cs="宋体"/>
                <w:bCs/>
                <w:color w:val="auto"/>
                <w:kern w:val="0"/>
                <w:sz w:val="21"/>
                <w:szCs w:val="21"/>
                <w:highlight w:val="none"/>
                <w:lang w:val="en-US" w:eastAsia="zh-CN" w:bidi="ar-SA"/>
              </w:rPr>
              <w:t>针对性，内容详细，</w:t>
            </w:r>
            <w:r>
              <w:rPr>
                <w:rFonts w:hint="eastAsia" w:ascii="宋体" w:hAnsi="宋体" w:cs="宋体"/>
                <w:bCs/>
                <w:color w:val="auto"/>
                <w:kern w:val="0"/>
                <w:sz w:val="21"/>
                <w:szCs w:val="21"/>
                <w:highlight w:val="none"/>
                <w:lang w:val="en-US" w:eastAsia="zh-CN" w:bidi="ar-SA"/>
              </w:rPr>
              <w:t>培训课程有</w:t>
            </w:r>
            <w:r>
              <w:rPr>
                <w:rFonts w:hint="eastAsia" w:ascii="宋体" w:hAnsi="宋体" w:eastAsia="宋体" w:cs="宋体"/>
                <w:bCs/>
                <w:color w:val="auto"/>
                <w:kern w:val="0"/>
                <w:sz w:val="21"/>
                <w:szCs w:val="21"/>
                <w:highlight w:val="none"/>
                <w:lang w:val="en-US" w:eastAsia="zh-CN" w:bidi="ar-SA"/>
              </w:rPr>
              <w:t>特色，课程模块设置之间的逻辑关系清晰，能有效提高参训学员专业技能和综合素质，备选课程</w:t>
            </w:r>
            <w:r>
              <w:rPr>
                <w:rFonts w:hint="eastAsia" w:ascii="宋体" w:hAnsi="宋体" w:cs="宋体"/>
                <w:bCs/>
                <w:color w:val="auto"/>
                <w:kern w:val="0"/>
                <w:sz w:val="21"/>
                <w:szCs w:val="21"/>
                <w:highlight w:val="none"/>
                <w:lang w:val="en-US" w:eastAsia="zh-CN" w:bidi="ar-SA"/>
              </w:rPr>
              <w:t>符合实际</w:t>
            </w:r>
            <w:r>
              <w:rPr>
                <w:rFonts w:hint="eastAsia" w:ascii="宋体" w:hAnsi="宋体" w:eastAsia="宋体" w:cs="宋体"/>
                <w:bCs/>
                <w:color w:val="auto"/>
                <w:kern w:val="0"/>
                <w:sz w:val="21"/>
                <w:szCs w:val="21"/>
                <w:highlight w:val="none"/>
                <w:lang w:val="en-US" w:eastAsia="zh-CN" w:bidi="ar-SA"/>
              </w:rPr>
              <w:t>。</w:t>
            </w:r>
          </w:p>
        </w:tc>
        <w:tc>
          <w:tcPr>
            <w:tcW w:w="915"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2" w:type="dxa"/>
            <w:noWrap w:val="0"/>
            <w:vAlign w:val="center"/>
          </w:tcPr>
          <w:p>
            <w:pPr>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809"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技术</w:t>
            </w:r>
          </w:p>
        </w:tc>
        <w:tc>
          <w:tcPr>
            <w:tcW w:w="6222" w:type="dxa"/>
            <w:noWrap w:val="0"/>
            <w:vAlign w:val="center"/>
          </w:tcPr>
          <w:p>
            <w:pPr>
              <w:widowControl/>
              <w:snapToGrid w:val="0"/>
              <w:spacing w:line="360" w:lineRule="auto"/>
              <w:rPr>
                <w:rFonts w:hint="eastAsia" w:ascii="宋体" w:hAnsi="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培训管理服务方案分</w:t>
            </w:r>
            <w:r>
              <w:rPr>
                <w:rFonts w:hint="eastAsia" w:ascii="宋体" w:hAnsi="宋体" w:cs="宋体"/>
                <w:bCs/>
                <w:color w:val="auto"/>
                <w:kern w:val="0"/>
                <w:sz w:val="21"/>
                <w:szCs w:val="21"/>
                <w:highlight w:val="none"/>
                <w:lang w:val="en-US" w:eastAsia="zh-CN" w:bidi="ar-SA"/>
              </w:rPr>
              <w:t>（满分15分）</w:t>
            </w:r>
          </w:p>
          <w:p>
            <w:pPr>
              <w:pStyle w:val="20"/>
              <w:spacing w:line="360" w:lineRule="auto"/>
              <w:rPr>
                <w:rFonts w:hint="eastAsia"/>
                <w:color w:val="auto"/>
                <w:highlight w:val="none"/>
                <w:lang w:val="en-US" w:eastAsia="zh-CN"/>
              </w:rPr>
            </w:pPr>
            <w:r>
              <w:rPr>
                <w:rFonts w:hint="eastAsia"/>
                <w:color w:val="auto"/>
                <w:highlight w:val="none"/>
                <w:lang w:val="en-US" w:eastAsia="zh-CN"/>
              </w:rPr>
              <w:t>一档（6分）：供应商针对本项目的培训任务，配备有培训管理团队、有培训组织管理措施，所选教学场地满足需求，配备有基础的设施设备。</w:t>
            </w:r>
          </w:p>
          <w:p>
            <w:pPr>
              <w:pStyle w:val="20"/>
              <w:spacing w:line="360" w:lineRule="auto"/>
              <w:rPr>
                <w:rFonts w:hint="eastAsia"/>
                <w:color w:val="auto"/>
                <w:highlight w:val="none"/>
                <w:lang w:val="en-US" w:eastAsia="zh-CN"/>
              </w:rPr>
            </w:pPr>
            <w:r>
              <w:rPr>
                <w:rFonts w:hint="eastAsia"/>
                <w:color w:val="auto"/>
                <w:highlight w:val="none"/>
                <w:lang w:val="en-US" w:eastAsia="zh-CN"/>
              </w:rPr>
              <w:t>二档（9分）：供应商针对本项目的培训任务，配备有培训管理团队，人员分工明确，有培训组织管理具体措施，培训场地贴合需求，有基础的设施设备，食宿条件能满足要求。</w:t>
            </w:r>
          </w:p>
          <w:p>
            <w:pPr>
              <w:pStyle w:val="20"/>
              <w:spacing w:line="360" w:lineRule="auto"/>
              <w:rPr>
                <w:rFonts w:hint="eastAsia"/>
                <w:color w:val="auto"/>
                <w:highlight w:val="none"/>
                <w:lang w:val="en-US" w:eastAsia="zh-CN"/>
              </w:rPr>
            </w:pPr>
            <w:r>
              <w:rPr>
                <w:rFonts w:hint="eastAsia"/>
                <w:color w:val="auto"/>
                <w:highlight w:val="none"/>
                <w:lang w:val="en-US" w:eastAsia="zh-CN"/>
              </w:rPr>
              <w:t>三档（12分）：供应商针对本项目的培训任务，配备有培训管理团队；有详细的教学管理流程，管理团队人员分工明确；培训组织管理措施有具体的时间、进度安排，培训场地地理交通便利，罗列了培训设施设备清单。</w:t>
            </w:r>
          </w:p>
          <w:p>
            <w:pPr>
              <w:pStyle w:val="20"/>
              <w:spacing w:line="360" w:lineRule="auto"/>
              <w:rPr>
                <w:rFonts w:hint="eastAsia"/>
                <w:color w:val="auto"/>
                <w:highlight w:val="none"/>
                <w:lang w:val="en-US" w:eastAsia="zh-CN"/>
              </w:rPr>
            </w:pPr>
            <w:r>
              <w:rPr>
                <w:rFonts w:hint="eastAsia"/>
                <w:color w:val="auto"/>
                <w:highlight w:val="none"/>
                <w:lang w:val="en-US" w:eastAsia="zh-CN"/>
              </w:rPr>
              <w:t>四档（15分）：供应商针对本项目的培训任务，配备专业的培训管理团队；有完成项目的整个工作流程，有细化的教学管理流程，管理团队人员分工明确，有丰富的项目管理经验；培训组织管理措施有具体的时间、质量、进度控制，有针对性，培训场地地理位置交通便利，有学习氛围，罗列了详细的培训设施设备清单，并附有照片等证明材料，有满足培训要求的食宿及医疗保卫条件。</w:t>
            </w:r>
          </w:p>
        </w:tc>
        <w:tc>
          <w:tcPr>
            <w:tcW w:w="915"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2" w:type="dxa"/>
            <w:noWrap w:val="0"/>
            <w:vAlign w:val="center"/>
          </w:tcPr>
          <w:p>
            <w:pPr>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809" w:type="dxa"/>
            <w:noWrap w:val="0"/>
            <w:vAlign w:val="center"/>
          </w:tcPr>
          <w:p>
            <w:pPr>
              <w:widowControl/>
              <w:snapToGrid w:val="0"/>
              <w:spacing w:line="360" w:lineRule="auto"/>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技术</w:t>
            </w:r>
          </w:p>
        </w:tc>
        <w:tc>
          <w:tcPr>
            <w:tcW w:w="6222"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售后服务承诺分（满分15 分）</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一档（5分）：售后服务承诺能满足采购需求的要求，但未提供相应的售后保障措施；</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二档（10分）：售后服务承诺能满足采购需求要求，提供了满足项目要求的售后保障措施；</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三档（15分）：售后服务承诺能满足采购需求的要求，有明确的时效承诺，售后服务承诺的内容能为采购人考虑，具有可行性，有详细的保障措施。对项目的服务有正确深刻理解与充分认识，表述清晰、合理，售后服务承诺完全满足项目要求。接到用户服务请求电话或电子邮件等时，承诺1.5小时内到达指定现场，并在3小时内提出问题解决方案，提供有售后服务联系人姓名、电话、详细地址等信息。</w:t>
            </w:r>
          </w:p>
        </w:tc>
        <w:tc>
          <w:tcPr>
            <w:tcW w:w="915"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2" w:type="dxa"/>
            <w:noWrap w:val="0"/>
            <w:vAlign w:val="center"/>
          </w:tcPr>
          <w:p>
            <w:pPr>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809" w:type="dxa"/>
            <w:noWrap w:val="0"/>
            <w:vAlign w:val="center"/>
          </w:tcPr>
          <w:p>
            <w:pPr>
              <w:widowControl/>
              <w:snapToGrid w:val="0"/>
              <w:spacing w:line="360" w:lineRule="auto"/>
              <w:jc w:val="center"/>
              <w:rPr>
                <w:rFonts w:hint="eastAsia"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技术</w:t>
            </w:r>
          </w:p>
        </w:tc>
        <w:tc>
          <w:tcPr>
            <w:tcW w:w="6222"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内部管理制度分（满分15分）</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一档（5分）：供应商提供了内部管理制度，不符合实际的。</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二档（10分）：供应商提供详细的内部管理制度（包括：学员管理办法、教师管理制度、财务管理制度、卫生管理制度、安全管理制度、考勤制度等各项内容制度）符合实际、具有操作性。</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三档（15分）：供应商提供的内部管理制度（包括：学员管理办法、教师管理制度、财务管理制度、卫生管理制度、安全管理制度、考勤制度、风险防范制度、报告质量管理制度建设情况等）严谨、符合实际、有针对性和操作性。</w:t>
            </w:r>
          </w:p>
        </w:tc>
        <w:tc>
          <w:tcPr>
            <w:tcW w:w="915"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62" w:type="dxa"/>
            <w:noWrap w:val="0"/>
            <w:vAlign w:val="center"/>
          </w:tcPr>
          <w:p>
            <w:pPr>
              <w:adjustRightInd w:val="0"/>
              <w:spacing w:line="360" w:lineRule="auto"/>
              <w:jc w:val="center"/>
              <w:textAlignment w:val="baseline"/>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809"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商务</w:t>
            </w:r>
          </w:p>
        </w:tc>
        <w:tc>
          <w:tcPr>
            <w:tcW w:w="6222" w:type="dxa"/>
            <w:noWrap w:val="0"/>
            <w:vAlign w:val="center"/>
          </w:tcPr>
          <w:p>
            <w:pPr>
              <w:pStyle w:val="2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1.供应商自2022年1月1日至投标截止时间前获政府相关部门颁发的与职业技能培训有关的荣誉证书的每提供1个得1分，提供相关证书复印件（满分2分）。</w:t>
            </w:r>
          </w:p>
          <w:p>
            <w:pPr>
              <w:pStyle w:val="2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2.自有场地或租用场所且租赁有效期涵盖本项目服务期限的（自有场地提供产权证或土地使用证，租赁的提供租赁合同为准），同时具有与培训的职业（工种）培训规模相适应的教学场所的,完全满足得5分，全部不满足不得分。 </w:t>
            </w:r>
          </w:p>
          <w:p>
            <w:pPr>
              <w:pStyle w:val="20"/>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3.供应商自2022年1月1日至投标截止时间前承接过类似项目的，每承接一个得1.5分，满分15分，提供成交/中标通知书或合同复印件，不提供不得分。</w:t>
            </w:r>
          </w:p>
        </w:tc>
        <w:tc>
          <w:tcPr>
            <w:tcW w:w="915" w:type="dxa"/>
            <w:noWrap w:val="0"/>
            <w:vAlign w:val="center"/>
          </w:tcPr>
          <w:p>
            <w:pPr>
              <w:widowControl/>
              <w:snapToGrid w:val="0"/>
              <w:spacing w:line="360" w:lineRule="auto"/>
              <w:jc w:val="center"/>
              <w:rPr>
                <w:rFonts w:hint="default" w:ascii="宋体" w:hAnsi="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pPr>
              <w:pStyle w:val="13"/>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总得分=1+2+3</w:t>
            </w:r>
            <w:r>
              <w:rPr>
                <w:rFonts w:hint="eastAsia" w:hAnsi="宋体" w:cs="宋体"/>
                <w:b/>
                <w:bCs/>
                <w:color w:val="auto"/>
                <w:sz w:val="24"/>
                <w:szCs w:val="24"/>
                <w:highlight w:val="none"/>
                <w:lang w:val="en-US" w:eastAsia="zh-CN"/>
              </w:rPr>
              <w:t>+4+5+6</w:t>
            </w:r>
          </w:p>
        </w:tc>
      </w:tr>
    </w:tbl>
    <w:p>
      <w:pPr>
        <w:rPr>
          <w:rFonts w:hint="eastAsia"/>
          <w:color w:val="auto"/>
          <w:highlight w:val="none"/>
          <w:lang w:eastAsia="zh-CN"/>
        </w:rPr>
      </w:pPr>
    </w:p>
    <w:p>
      <w:pPr>
        <w:pStyle w:val="3"/>
        <w:jc w:val="center"/>
        <w:rPr>
          <w:rFonts w:hint="eastAsia" w:cs="Times New Roman"/>
          <w:b w:val="0"/>
          <w:color w:val="auto"/>
          <w:sz w:val="30"/>
          <w:szCs w:val="30"/>
          <w:highlight w:val="none"/>
        </w:rPr>
      </w:pPr>
      <w:bookmarkStart w:id="314" w:name="_Toc10751"/>
      <w:bookmarkStart w:id="315" w:name="_Toc23906"/>
      <w:bookmarkStart w:id="316" w:name="_Toc15061"/>
      <w:bookmarkStart w:id="317" w:name="_Toc18582"/>
      <w:bookmarkStart w:id="318" w:name="_Toc20313"/>
      <w:bookmarkStart w:id="319" w:name="_Toc16466"/>
      <w:bookmarkStart w:id="320" w:name="_Toc11083"/>
      <w:bookmarkStart w:id="321" w:name="_Toc2202"/>
      <w:bookmarkStart w:id="322" w:name="_Toc12855"/>
      <w:bookmarkStart w:id="323" w:name="_Toc9480"/>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14"/>
      <w:bookmarkEnd w:id="315"/>
      <w:bookmarkEnd w:id="316"/>
      <w:bookmarkEnd w:id="317"/>
      <w:bookmarkEnd w:id="318"/>
      <w:bookmarkEnd w:id="319"/>
      <w:bookmarkEnd w:id="320"/>
      <w:bookmarkEnd w:id="321"/>
      <w:bookmarkEnd w:id="322"/>
      <w:bookmarkEnd w:id="323"/>
    </w:p>
    <w:p>
      <w:pPr>
        <w:pStyle w:val="13"/>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pPr>
        <w:pStyle w:val="13"/>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w:t>
      </w:r>
      <w:r>
        <w:rPr>
          <w:rFonts w:hint="eastAsia" w:hAnsi="宋体" w:cs="Times New Roman"/>
          <w:color w:val="auto"/>
          <w:highlight w:val="none"/>
          <w:lang w:val="en-US" w:eastAsia="zh-CN"/>
        </w:rPr>
        <w:t>技术部分得分</w:t>
      </w:r>
      <w:r>
        <w:rPr>
          <w:rFonts w:hint="eastAsia" w:hAnsi="宋体" w:eastAsia="宋体" w:cs="Times New Roman"/>
          <w:color w:val="auto"/>
          <w:highlight w:val="none"/>
        </w:rPr>
        <w:t>由</w:t>
      </w:r>
      <w:r>
        <w:rPr>
          <w:rFonts w:hint="eastAsia" w:hAnsi="宋体" w:cs="Times New Roman"/>
          <w:color w:val="auto"/>
          <w:highlight w:val="none"/>
          <w:lang w:val="en-US" w:eastAsia="zh-CN"/>
        </w:rPr>
        <w:t>高</w:t>
      </w:r>
      <w:r>
        <w:rPr>
          <w:rFonts w:hint="eastAsia" w:hAnsi="宋体" w:eastAsia="宋体" w:cs="Times New Roman"/>
          <w:color w:val="auto"/>
          <w:highlight w:val="none"/>
        </w:rPr>
        <w:t>到</w:t>
      </w:r>
      <w:r>
        <w:rPr>
          <w:rFonts w:hint="eastAsia" w:hAnsi="宋体" w:cs="Times New Roman"/>
          <w:color w:val="auto"/>
          <w:highlight w:val="none"/>
          <w:lang w:val="en-US" w:eastAsia="zh-CN"/>
        </w:rPr>
        <w:t>低</w:t>
      </w:r>
      <w:r>
        <w:rPr>
          <w:rFonts w:hint="eastAsia" w:hAnsi="宋体" w:eastAsia="宋体" w:cs="Times New Roman"/>
          <w:color w:val="auto"/>
          <w:highlight w:val="none"/>
        </w:rPr>
        <w:t>顺序排列</w:t>
      </w:r>
      <w:r>
        <w:rPr>
          <w:rFonts w:hint="eastAsia"/>
          <w:color w:val="auto"/>
          <w:highlight w:val="none"/>
          <w:lang w:eastAsia="zh-CN"/>
        </w:rPr>
        <w:t>，</w:t>
      </w:r>
      <w:r>
        <w:rPr>
          <w:rFonts w:hint="eastAsia" w:hAnsi="宋体" w:eastAsia="宋体" w:cs="Times New Roman"/>
          <w:color w:val="auto"/>
          <w:highlight w:val="none"/>
        </w:rPr>
        <w:t>得分最高的投标人为排名第一的中标候选人。</w:t>
      </w:r>
    </w:p>
    <w:p>
      <w:pPr>
        <w:pStyle w:val="3"/>
        <w:spacing w:before="0" w:after="0" w:line="360" w:lineRule="auto"/>
        <w:ind w:firstLine="600" w:firstLineChars="200"/>
        <w:jc w:val="center"/>
        <w:rPr>
          <w:rFonts w:hint="eastAsia" w:cs="Times New Roman"/>
          <w:b w:val="0"/>
          <w:color w:val="auto"/>
          <w:sz w:val="30"/>
          <w:szCs w:val="30"/>
          <w:highlight w:val="none"/>
        </w:rPr>
      </w:pPr>
      <w:bookmarkStart w:id="324" w:name="_Toc11073"/>
      <w:bookmarkStart w:id="325" w:name="_Toc13625"/>
      <w:bookmarkStart w:id="326" w:name="_Toc9602"/>
      <w:bookmarkStart w:id="327" w:name="_Toc11545"/>
      <w:bookmarkStart w:id="328" w:name="_Toc7971"/>
      <w:bookmarkStart w:id="329" w:name="_Toc11695"/>
      <w:bookmarkStart w:id="330" w:name="_Toc27419"/>
      <w:bookmarkStart w:id="331" w:name="_Toc13808"/>
      <w:bookmarkStart w:id="332" w:name="_Toc29218"/>
      <w:bookmarkStart w:id="333" w:name="_Toc22384"/>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24"/>
      <w:bookmarkEnd w:id="325"/>
      <w:bookmarkEnd w:id="326"/>
      <w:bookmarkEnd w:id="327"/>
      <w:bookmarkEnd w:id="328"/>
      <w:bookmarkEnd w:id="329"/>
      <w:bookmarkEnd w:id="330"/>
      <w:bookmarkEnd w:id="331"/>
      <w:bookmarkEnd w:id="332"/>
      <w:bookmarkEnd w:id="333"/>
    </w:p>
    <w:p>
      <w:pPr>
        <w:pStyle w:val="3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pPr>
        <w:pStyle w:val="13"/>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pPr>
        <w:pStyle w:val="13"/>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3"/>
        <w:tabs>
          <w:tab w:val="left" w:pos="2472"/>
        </w:tabs>
        <w:spacing w:line="460" w:lineRule="exact"/>
        <w:jc w:val="center"/>
        <w:rPr>
          <w:rFonts w:hint="eastAsia"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334" w:name="_Toc32021"/>
      <w:bookmarkStart w:id="335" w:name="_Toc26262"/>
      <w:bookmarkStart w:id="336" w:name="_Toc25572"/>
      <w:bookmarkStart w:id="337" w:name="_Toc9012"/>
      <w:bookmarkStart w:id="338" w:name="_Toc17049"/>
      <w:bookmarkStart w:id="339" w:name="_Toc3422"/>
      <w:bookmarkStart w:id="340" w:name="_Toc3838"/>
      <w:bookmarkStart w:id="341" w:name="_Toc9058"/>
      <w:bookmarkStart w:id="342" w:name="_Toc20993"/>
      <w:bookmarkStart w:id="343" w:name="_Toc29347"/>
      <w:bookmarkStart w:id="344" w:name="_Toc7167"/>
      <w:bookmarkStart w:id="345" w:name="_Toc31791"/>
      <w:bookmarkStart w:id="346" w:name="_Toc27014"/>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34"/>
      <w:bookmarkEnd w:id="335"/>
      <w:bookmarkEnd w:id="336"/>
      <w:bookmarkEnd w:id="337"/>
      <w:bookmarkEnd w:id="338"/>
      <w:bookmarkEnd w:id="339"/>
      <w:bookmarkEnd w:id="340"/>
      <w:bookmarkEnd w:id="341"/>
      <w:bookmarkEnd w:id="342"/>
      <w:bookmarkEnd w:id="343"/>
      <w:bookmarkEnd w:id="344"/>
      <w:bookmarkEnd w:id="345"/>
      <w:bookmarkEnd w:id="346"/>
    </w:p>
    <w:p>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spacing w:line="360" w:lineRule="auto"/>
        <w:rPr>
          <w:rFonts w:ascii="仿宋_GB2312" w:hAnsi="楷体" w:eastAsia="仿宋_GB2312" w:cs="Times New Roman"/>
          <w:color w:val="auto"/>
          <w:sz w:val="24"/>
          <w:highlight w:val="none"/>
        </w:rPr>
      </w:pPr>
    </w:p>
    <w:p>
      <w:pPr>
        <w:snapToGrid w:val="0"/>
        <w:spacing w:line="400" w:lineRule="exact"/>
        <w:jc w:val="center"/>
        <w:rPr>
          <w:rFonts w:hint="eastAsia" w:ascii="宋体" w:hAnsi="宋体" w:eastAsia="宋体" w:cs="宋体"/>
          <w:b/>
          <w:bCs/>
          <w:color w:val="auto"/>
          <w:sz w:val="32"/>
          <w:szCs w:val="32"/>
          <w:highlight w:val="none"/>
        </w:rPr>
      </w:pPr>
    </w:p>
    <w:p>
      <w:pP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pPr>
        <w:spacing w:line="520" w:lineRule="exact"/>
        <w:rPr>
          <w:rFonts w:hint="eastAsia" w:ascii="宋体" w:hAnsi="宋体" w:eastAsia="宋体" w:cs="宋体"/>
          <w:b/>
          <w:color w:val="auto"/>
          <w:sz w:val="32"/>
          <w:szCs w:val="32"/>
          <w:highlight w:val="none"/>
        </w:rPr>
      </w:pPr>
    </w:p>
    <w:p>
      <w:pP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pP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》等法律、法规规定，按照招标文件规定条款和乙方投标文件及其承诺，甲乙双方签订本合同。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（详见附件中的开标一览表）</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w:t>
      </w:r>
      <w:r>
        <w:rPr>
          <w:rFonts w:hint="eastAsia"/>
          <w:color w:val="auto"/>
          <w:highlight w:val="none"/>
        </w:rPr>
        <w:t>是履行合同的最终价格，</w:t>
      </w:r>
      <w:r>
        <w:rPr>
          <w:rFonts w:hint="eastAsia" w:ascii="宋体" w:hAnsi="宋体" w:eastAsia="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第二条　质量</w:t>
      </w:r>
      <w:r>
        <w:rPr>
          <w:rFonts w:hint="eastAsia" w:ascii="宋体" w:hAnsi="宋体" w:eastAsia="宋体" w:cs="宋体"/>
          <w:b/>
          <w:color w:val="auto"/>
          <w:szCs w:val="21"/>
          <w:highlight w:val="none"/>
          <w:lang w:eastAsia="zh-CN"/>
        </w:rPr>
        <w:t>要求</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eastAsia="宋体" w:cs="宋体"/>
          <w:color w:val="auto"/>
          <w:szCs w:val="21"/>
          <w:highlight w:val="none"/>
          <w:u w:val="single"/>
        </w:rPr>
        <w:t xml:space="preserve">           起至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2、乙方应按投标文件的承诺向甲方提供相应的服务，并提供所服务内容的相关技术资料。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3、乙方提供不符合投标文件和本合同规定的服务成果，甲方有权</w:t>
      </w:r>
      <w:r>
        <w:rPr>
          <w:rFonts w:hint="eastAsia" w:ascii="宋体" w:hAnsi="宋体" w:eastAsia="宋体" w:cs="宋体"/>
          <w:color w:val="auto"/>
          <w:szCs w:val="21"/>
          <w:highlight w:val="none"/>
        </w:rPr>
        <w:t>拒绝接受。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w:t>
      </w:r>
      <w:r>
        <w:rPr>
          <w:rFonts w:hint="eastAsia" w:ascii="宋体" w:hAnsi="宋体" w:eastAsia="宋体" w:cs="宋体"/>
          <w:color w:val="auto"/>
          <w:szCs w:val="21"/>
          <w:highlight w:val="none"/>
        </w:rPr>
        <w:t>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售后服务及培训</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乙方应按照国家有关法律法规和本合同所附的《售后服务承诺》要求为甲方提供相应的售后服务。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付款方式：</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pPr>
        <w:spacing w:line="360" w:lineRule="auto"/>
        <w:ind w:firstLine="422"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3、甲方延期付款的，每天向乙方偿付延期款额3‰滞纳金，但滞纳金累计不得超过延期款额5%。</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委托代理人签字并加盖单位公章后生效。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本合同书与下列文件一起构成合同文件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、商务条款偏离表和服务要求偏离表；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采购需求</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1"/>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jc w:val="right"/>
              <w:rPr>
                <w:rFonts w:hint="eastAsia" w:ascii="宋体" w:hAnsi="宋体" w:eastAsia="宋体" w:cs="宋体"/>
                <w:color w:val="auto"/>
                <w:szCs w:val="21"/>
                <w:highlight w:val="none"/>
              </w:rPr>
            </w:pPr>
          </w:p>
          <w:p>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pPr>
        <w:snapToGrid w:val="0"/>
        <w:jc w:val="center"/>
        <w:rPr>
          <w:rFonts w:hint="eastAsia" w:ascii="宋体" w:hAnsi="宋体" w:eastAsia="宋体" w:cs="宋体"/>
          <w:b/>
          <w:bCs/>
          <w:color w:val="auto"/>
          <w:sz w:val="32"/>
          <w:szCs w:val="32"/>
          <w:highlight w:val="none"/>
        </w:rPr>
      </w:pPr>
    </w:p>
    <w:p>
      <w:pPr>
        <w:snapToGrid w:val="0"/>
        <w:spacing w:line="360" w:lineRule="auto"/>
        <w:ind w:left="420" w:hanging="420" w:hangingChars="200"/>
        <w:rPr>
          <w:rFonts w:hint="eastAsia" w:ascii="宋体" w:hAnsi="宋体" w:eastAsia="宋体" w:cs="宋体"/>
          <w:color w:val="auto"/>
          <w:szCs w:val="21"/>
          <w:highlight w:val="none"/>
        </w:rPr>
      </w:pPr>
    </w:p>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tbl>
      <w:tblPr>
        <w:tblStyle w:val="21"/>
        <w:tblW w:w="8522" w:type="dxa"/>
        <w:tblInd w:w="0" w:type="dxa"/>
        <w:tblLayout w:type="fixed"/>
        <w:tblCellMar>
          <w:top w:w="0" w:type="dxa"/>
          <w:left w:w="108" w:type="dxa"/>
          <w:bottom w:w="0" w:type="dxa"/>
          <w:right w:w="108" w:type="dxa"/>
        </w:tblCellMar>
      </w:tblPr>
      <w:tblGrid>
        <w:gridCol w:w="4248"/>
        <w:gridCol w:w="4274"/>
      </w:tblGrid>
      <w:tr>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eastAsia="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注：服务事项填不下时可另加附页</w:t>
      </w:r>
    </w:p>
    <w:p>
      <w:pPr>
        <w:snapToGrid w:val="0"/>
        <w:spacing w:line="360" w:lineRule="auto"/>
        <w:jc w:val="left"/>
        <w:rPr>
          <w:rFonts w:hint="eastAsia" w:ascii="宋体" w:hAnsi="宋体" w:eastAsia="宋体" w:cs="宋体"/>
          <w:color w:val="auto"/>
          <w:szCs w:val="21"/>
          <w:highlight w:val="none"/>
        </w:rPr>
      </w:pPr>
    </w:p>
    <w:p>
      <w:pPr>
        <w:pStyle w:val="13"/>
        <w:tabs>
          <w:tab w:val="left" w:pos="2472"/>
        </w:tabs>
        <w:spacing w:line="460" w:lineRule="exact"/>
        <w:jc w:val="center"/>
        <w:rPr>
          <w:rFonts w:hint="eastAsia" w:ascii="Times New Roman" w:hAnsi="Times New Roman" w:eastAsia="宋体" w:cs="Times New Roman"/>
          <w:b/>
          <w:color w:val="auto"/>
          <w:sz w:val="36"/>
          <w:highlight w:val="none"/>
        </w:rPr>
      </w:pPr>
      <w:r>
        <w:rPr>
          <w:rFonts w:hint="eastAsia" w:ascii="宋体" w:hAnsi="宋体" w:eastAsia="宋体" w:cs="宋体"/>
          <w:b/>
          <w:color w:val="auto"/>
          <w:sz w:val="32"/>
          <w:szCs w:val="32"/>
          <w:highlight w:val="none"/>
        </w:rPr>
        <w:br w:type="page"/>
      </w: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347" w:name="_Toc5736"/>
      <w:bookmarkStart w:id="348" w:name="_Toc9123"/>
      <w:bookmarkStart w:id="349" w:name="_Toc20296"/>
      <w:bookmarkStart w:id="350" w:name="_Toc32149"/>
      <w:bookmarkStart w:id="351" w:name="_Toc20832"/>
      <w:bookmarkStart w:id="352" w:name="_Toc19106"/>
      <w:bookmarkStart w:id="353" w:name="_Toc19350"/>
      <w:bookmarkStart w:id="354" w:name="_Toc26390"/>
      <w:bookmarkStart w:id="355" w:name="_Toc11043"/>
      <w:bookmarkStart w:id="356" w:name="_Toc26884"/>
      <w:bookmarkStart w:id="357" w:name="_Toc24704"/>
      <w:bookmarkStart w:id="358" w:name="_Toc2517"/>
      <w:bookmarkStart w:id="359" w:name="_Toc2377"/>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7"/>
      <w:bookmarkEnd w:id="348"/>
      <w:bookmarkEnd w:id="349"/>
      <w:bookmarkEnd w:id="350"/>
      <w:bookmarkEnd w:id="351"/>
      <w:bookmarkEnd w:id="352"/>
      <w:bookmarkEnd w:id="353"/>
      <w:bookmarkEnd w:id="354"/>
      <w:bookmarkEnd w:id="355"/>
      <w:bookmarkEnd w:id="356"/>
      <w:bookmarkEnd w:id="357"/>
      <w:bookmarkEnd w:id="358"/>
      <w:bookmarkEnd w:id="359"/>
    </w:p>
    <w:p>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3"/>
        <w:jc w:val="center"/>
        <w:outlineLvl w:val="1"/>
        <w:rPr>
          <w:rFonts w:hint="eastAsia" w:hAnsi="宋体" w:eastAsia="宋体" w:cs="Times New Roman"/>
          <w:b/>
          <w:bCs/>
          <w:color w:val="auto"/>
          <w:sz w:val="28"/>
          <w:szCs w:val="28"/>
          <w:highlight w:val="none"/>
        </w:rPr>
      </w:pPr>
      <w:bookmarkStart w:id="360" w:name="_Toc4270"/>
      <w:bookmarkStart w:id="361" w:name="_Toc11854"/>
      <w:bookmarkStart w:id="362" w:name="_Toc32370"/>
      <w:bookmarkStart w:id="363" w:name="_Toc16890"/>
      <w:bookmarkStart w:id="364" w:name="_Toc21700"/>
      <w:bookmarkStart w:id="365" w:name="_Toc32508"/>
      <w:bookmarkStart w:id="366" w:name="_Toc20281"/>
      <w:bookmarkStart w:id="367" w:name="_Toc24486"/>
      <w:bookmarkStart w:id="368" w:name="_Toc23486"/>
      <w:bookmarkStart w:id="369" w:name="_Toc781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60"/>
      <w:bookmarkEnd w:id="361"/>
      <w:bookmarkEnd w:id="362"/>
      <w:bookmarkEnd w:id="363"/>
      <w:bookmarkEnd w:id="364"/>
      <w:bookmarkEnd w:id="365"/>
      <w:bookmarkEnd w:id="366"/>
      <w:bookmarkEnd w:id="367"/>
      <w:bookmarkEnd w:id="368"/>
      <w:bookmarkEnd w:id="369"/>
    </w:p>
    <w:p>
      <w:pPr>
        <w:pStyle w:val="13"/>
        <w:spacing w:line="360" w:lineRule="auto"/>
        <w:ind w:firstLine="420"/>
        <w:rPr>
          <w:rFonts w:hint="eastAsia" w:hAnsi="宋体" w:eastAsia="宋体" w:cs="Times New Roman"/>
          <w:color w:val="auto"/>
          <w:sz w:val="30"/>
          <w:highlight w:val="none"/>
        </w:rPr>
      </w:pPr>
    </w:p>
    <w:p>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pPr>
        <w:rPr>
          <w:rFonts w:hint="eastAsia"/>
          <w:color w:val="auto"/>
          <w:highlight w:val="none"/>
        </w:rPr>
      </w:pP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pPr>
        <w:spacing w:line="360" w:lineRule="auto"/>
        <w:rPr>
          <w:rFonts w:hint="eastAsia" w:ascii="仿宋_GB2312" w:hAnsi="仿宋" w:eastAsia="仿宋_GB2312" w:cs="仿宋_GB2312"/>
          <w:b/>
          <w:bCs/>
          <w:color w:val="auto"/>
          <w:sz w:val="24"/>
          <w:highlight w:val="none"/>
        </w:rPr>
      </w:pPr>
    </w:p>
    <w:p>
      <w:pPr>
        <w:snapToGrid w:val="0"/>
        <w:spacing w:line="360" w:lineRule="auto"/>
        <w:rPr>
          <w:rFonts w:hint="eastAsia" w:ascii="仿宋_GB2312" w:hAnsi="仿宋" w:eastAsia="仿宋_GB2312" w:cs="仿宋_GB2312"/>
          <w:b/>
          <w:color w:val="auto"/>
          <w:kern w:val="0"/>
          <w:sz w:val="32"/>
          <w:szCs w:val="32"/>
          <w:highlight w:val="none"/>
          <w:lang w:val="zh-CN"/>
        </w:rPr>
      </w:pP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pPr>
        <w:pStyle w:val="10"/>
        <w:rPr>
          <w:rFonts w:hint="eastAsia"/>
          <w:color w:val="auto"/>
          <w:highlight w:val="none"/>
        </w:rPr>
      </w:pPr>
      <w:r>
        <w:rPr>
          <w:rFonts w:hint="eastAsia" w:ascii="宋体" w:hAnsi="宋体" w:cs="宋体"/>
          <w:b/>
          <w:color w:val="auto"/>
          <w:kern w:val="0"/>
          <w:sz w:val="32"/>
          <w:szCs w:val="32"/>
          <w:highlight w:val="none"/>
          <w:lang w:val="en-US" w:eastAsia="zh-CN"/>
        </w:rPr>
        <w:t>3.</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70" w:name="PO_3000001866_PM031_5"/>
      <w:r>
        <w:rPr>
          <w:rFonts w:hint="eastAsia" w:ascii="宋体" w:hAnsi="宋体" w:eastAsia="宋体" w:cs="Times New Roman"/>
          <w:color w:val="auto"/>
          <w:szCs w:val="21"/>
          <w:highlight w:val="none"/>
          <w:u w:val="single"/>
          <w:lang w:eastAsia="zh-CN"/>
        </w:rPr>
        <w:t>广西科联招标中心有限公司</w:t>
      </w:r>
      <w:bookmarkEnd w:id="370"/>
      <w:r>
        <w:rPr>
          <w:rFonts w:hint="eastAsia" w:ascii="宋体" w:hAnsi="宋体" w:eastAsia="宋体" w:cs="Times New Roman"/>
          <w:color w:val="auto"/>
          <w:szCs w:val="21"/>
          <w:highlight w:val="none"/>
          <w:u w:val="single"/>
        </w:rPr>
        <w:t xml:space="preserve"> </w:t>
      </w:r>
    </w:p>
    <w:p>
      <w:pPr>
        <w:pStyle w:val="14"/>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pPr>
        <w:pStyle w:val="14"/>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pPr>
        <w:pStyle w:val="14"/>
        <w:rPr>
          <w:rFonts w:hint="eastAsia"/>
          <w:color w:val="auto"/>
          <w:highlight w:val="none"/>
        </w:rPr>
      </w:pP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rPr>
        <w:t>注明如下：</w:t>
      </w:r>
      <w:r>
        <w:rPr>
          <w:rFonts w:hint="eastAsia" w:ascii="宋体" w:hAnsi="宋体" w:eastAsia="宋体" w:cs="宋体"/>
          <w:i/>
          <w:iCs/>
          <w:color w:val="auto"/>
          <w:sz w:val="21"/>
          <w:szCs w:val="21"/>
          <w:highlight w:val="none"/>
        </w:rPr>
        <w:t>（两项内容中必须选择一项）</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pPr>
        <w:pStyle w:val="14"/>
        <w:rPr>
          <w:rFonts w:hint="default" w:eastAsia="宋体"/>
          <w:color w:val="auto"/>
          <w:highlight w:val="none"/>
          <w:lang w:val="en-US" w:eastAsia="zh-CN"/>
        </w:rPr>
      </w:pP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8"/>
        <w:ind w:left="0"/>
        <w:jc w:val="left"/>
        <w:rPr>
          <w:rFonts w:hint="eastAsia"/>
          <w:color w:val="auto"/>
          <w:highlight w:val="none"/>
        </w:rPr>
      </w:pPr>
      <w:r>
        <w:rPr>
          <w:rFonts w:hint="eastAsia" w:hAnsi="宋体" w:cs="宋体"/>
          <w:b/>
          <w:bCs/>
          <w:color w:val="auto"/>
          <w:sz w:val="28"/>
          <w:szCs w:val="28"/>
          <w:highlight w:val="none"/>
          <w:lang w:val="en-US" w:eastAsia="zh-CN"/>
        </w:rPr>
        <w:t>4.联合体投标协议书的格式：</w:t>
      </w:r>
    </w:p>
    <w:p>
      <w:pPr>
        <w:pStyle w:val="13"/>
        <w:spacing w:line="600" w:lineRule="exact"/>
        <w:jc w:val="center"/>
        <w:rPr>
          <w:rFonts w:hint="eastAsia" w:ascii="宋体" w:hAnsi="宋体" w:cs="宋体"/>
          <w:b/>
          <w:bCs/>
          <w:color w:val="auto"/>
          <w:sz w:val="28"/>
          <w:szCs w:val="28"/>
          <w:highlight w:val="none"/>
        </w:rPr>
      </w:pPr>
    </w:p>
    <w:p>
      <w:pPr>
        <w:pStyle w:val="13"/>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pPr>
        <w:autoSpaceDE w:val="0"/>
        <w:autoSpaceDN w:val="0"/>
        <w:adjustRightInd w:val="0"/>
        <w:spacing w:line="360" w:lineRule="auto"/>
        <w:jc w:val="left"/>
        <w:rPr>
          <w:rFonts w:hint="eastAsia" w:ascii="宋体" w:hAnsi="宋体" w:cs="宋体"/>
          <w:color w:val="auto"/>
          <w:kern w:val="0"/>
          <w:szCs w:val="21"/>
          <w:highlight w:val="none"/>
          <w:u w:val="singl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71" w:name="PO_3000001919_PM031_1"/>
      <w:r>
        <w:rPr>
          <w:rFonts w:hint="eastAsia" w:ascii="宋体" w:hAnsi="宋体" w:cs="宋体"/>
          <w:color w:val="auto"/>
          <w:kern w:val="0"/>
          <w:szCs w:val="21"/>
          <w:highlight w:val="none"/>
          <w:u w:val="single"/>
          <w:lang w:eastAsia="zh-CN"/>
        </w:rPr>
        <w:t>广西科联招标中心有限公司</w:t>
      </w:r>
      <w:bookmarkEnd w:id="371"/>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pPr>
        <w:pStyle w:val="13"/>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pStyle w:val="13"/>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pPr>
        <w:pStyle w:val="7"/>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Style w:val="7"/>
        <w:overflowPunct w:val="0"/>
        <w:spacing w:line="360" w:lineRule="auto"/>
        <w:ind w:firstLineChars="175"/>
        <w:rPr>
          <w:rFonts w:hint="eastAsia" w:ascii="宋体" w:hAnsi="宋体" w:eastAsia="宋体" w:cs="宋体"/>
          <w:color w:val="auto"/>
          <w:sz w:val="24"/>
          <w:highlight w:val="none"/>
        </w:rPr>
      </w:pPr>
    </w:p>
    <w:p>
      <w:pPr>
        <w:pStyle w:val="7"/>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pPr>
        <w:pStyle w:val="13"/>
        <w:spacing w:line="600" w:lineRule="exact"/>
        <w:jc w:val="center"/>
        <w:rPr>
          <w:rFonts w:hint="eastAsia" w:hAnsi="宋体" w:cs="宋体"/>
          <w:color w:val="auto"/>
          <w:kern w:val="0"/>
          <w:szCs w:val="21"/>
          <w:highlight w:val="none"/>
        </w:rPr>
      </w:pPr>
    </w:p>
    <w:p>
      <w:pPr>
        <w:pStyle w:val="13"/>
        <w:jc w:val="both"/>
        <w:outlineLvl w:val="9"/>
        <w:rPr>
          <w:rFonts w:hAnsi="宋体" w:eastAsia="宋体" w:cs="Times New Roman"/>
          <w:color w:val="auto"/>
          <w:szCs w:val="21"/>
          <w:highlight w:val="none"/>
        </w:rPr>
      </w:pPr>
    </w:p>
    <w:p>
      <w:pPr>
        <w:pStyle w:val="13"/>
        <w:jc w:val="center"/>
        <w:outlineLvl w:val="1"/>
        <w:rPr>
          <w:rFonts w:hint="eastAsia" w:hAnsi="宋体" w:eastAsia="宋体" w:cs="Times New Roman"/>
          <w:b/>
          <w:bCs/>
          <w:color w:val="auto"/>
          <w:sz w:val="28"/>
          <w:szCs w:val="28"/>
          <w:highlight w:val="none"/>
        </w:rPr>
      </w:pPr>
      <w:bookmarkStart w:id="372" w:name="_Toc19686838"/>
      <w:bookmarkStart w:id="373" w:name="_Toc12624"/>
      <w:bookmarkStart w:id="374" w:name="_Toc3944"/>
      <w:bookmarkStart w:id="375" w:name="_Toc8189"/>
      <w:bookmarkStart w:id="376" w:name="_Toc16062"/>
      <w:bookmarkStart w:id="377" w:name="_Toc20777"/>
      <w:bookmarkStart w:id="378" w:name="_Toc31528"/>
      <w:bookmarkStart w:id="379" w:name="_Toc6839"/>
      <w:bookmarkStart w:id="380" w:name="_Toc2566"/>
      <w:bookmarkStart w:id="381" w:name="_Toc13159"/>
      <w:bookmarkStart w:id="382" w:name="_Toc24133"/>
    </w:p>
    <w:p>
      <w:pPr>
        <w:pStyle w:val="13"/>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72"/>
      <w:bookmarkEnd w:id="373"/>
      <w:bookmarkEnd w:id="374"/>
      <w:bookmarkEnd w:id="375"/>
      <w:bookmarkEnd w:id="376"/>
      <w:bookmarkEnd w:id="377"/>
      <w:bookmarkEnd w:id="378"/>
      <w:bookmarkEnd w:id="379"/>
      <w:bookmarkEnd w:id="380"/>
      <w:bookmarkEnd w:id="381"/>
      <w:bookmarkEnd w:id="382"/>
    </w:p>
    <w:p>
      <w:pPr>
        <w:snapToGrid w:val="0"/>
        <w:spacing w:before="165" w:beforeLines="50" w:after="50"/>
        <w:rPr>
          <w:rFonts w:hint="eastAsia" w:ascii="宋体" w:hAnsi="宋体" w:eastAsia="宋体" w:cs="Times New Roman"/>
          <w:color w:val="auto"/>
          <w:sz w:val="30"/>
          <w:szCs w:val="20"/>
          <w:highlight w:val="none"/>
        </w:rPr>
      </w:pPr>
    </w:p>
    <w:p>
      <w:pPr>
        <w:pStyle w:val="14"/>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p>
    <w:p>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pPr>
        <w:snapToGrid w:val="0"/>
        <w:spacing w:before="120" w:beforeLines="50" w:after="50"/>
        <w:ind w:left="420"/>
        <w:jc w:val="center"/>
        <w:rPr>
          <w:rFonts w:hint="eastAsia" w:ascii="宋体" w:hAnsi="宋体" w:eastAsia="宋体" w:cs="Times New Roman"/>
          <w:b/>
          <w:color w:val="auto"/>
          <w:sz w:val="32"/>
          <w:szCs w:val="32"/>
          <w:highlight w:val="none"/>
        </w:rPr>
      </w:pPr>
    </w:p>
    <w:p>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pPr>
        <w:snapToGrid w:val="0"/>
        <w:spacing w:before="120" w:beforeLines="50" w:after="50"/>
        <w:rPr>
          <w:rFonts w:hint="eastAsia" w:ascii="宋体" w:hAnsi="宋体" w:eastAsia="宋体" w:cs="Times New Roman"/>
          <w:b/>
          <w:color w:val="auto"/>
          <w:szCs w:val="21"/>
          <w:highlight w:val="none"/>
        </w:rPr>
      </w:pPr>
    </w:p>
    <w:p>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pPr>
        <w:pStyle w:val="10"/>
        <w:rPr>
          <w:rFonts w:hint="eastAsia"/>
          <w:color w:val="auto"/>
          <w:highlight w:val="none"/>
          <w:lang w:eastAsia="zh-CN"/>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pPr>
        <w:spacing w:before="240" w:beforeLines="100" w:after="120" w:afterLines="50"/>
        <w:ind w:left="540"/>
        <w:jc w:val="center"/>
        <w:rPr>
          <w:rFonts w:hint="eastAsia" w:ascii="宋体" w:hAnsi="Courier New" w:eastAsia="宋体" w:cs="Times New Roman"/>
          <w:b/>
          <w:color w:val="auto"/>
          <w:sz w:val="32"/>
          <w:szCs w:val="32"/>
          <w:highlight w:val="none"/>
        </w:rPr>
      </w:pPr>
    </w:p>
    <w:p>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pPr>
        <w:spacing w:line="500" w:lineRule="exact"/>
        <w:ind w:left="540"/>
        <w:rPr>
          <w:rFonts w:hint="eastAsia"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before="120" w:beforeLines="50" w:after="50"/>
        <w:jc w:val="center"/>
        <w:rPr>
          <w:rFonts w:hint="eastAsia" w:ascii="宋体" w:hAnsi="宋体" w:eastAsia="宋体" w:cs="Times New Roman"/>
          <w:b/>
          <w:color w:val="auto"/>
          <w:sz w:val="24"/>
          <w:highlight w:val="none"/>
        </w:rPr>
      </w:pPr>
    </w:p>
    <w:p>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pPr>
        <w:snapToGrid w:val="0"/>
        <w:spacing w:before="120" w:beforeLines="50" w:after="50"/>
        <w:ind w:firstLine="600" w:firstLineChars="250"/>
        <w:jc w:val="left"/>
        <w:rPr>
          <w:rFonts w:hint="eastAsia" w:ascii="宋体" w:hAnsi="宋体" w:eastAsia="宋体" w:cs="Times New Roman"/>
          <w:color w:val="auto"/>
          <w:sz w:val="24"/>
          <w:highlight w:val="none"/>
        </w:rPr>
      </w:pPr>
    </w:p>
    <w:p>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1"/>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pPr>
        <w:pStyle w:val="13"/>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pPr>
        <w:snapToGrid w:val="0"/>
        <w:spacing w:before="120" w:beforeLines="50" w:after="50"/>
        <w:jc w:val="center"/>
        <w:rPr>
          <w:rFonts w:hint="eastAsia" w:ascii="宋体" w:hAnsi="宋体" w:eastAsia="宋体" w:cs="Times New Roman"/>
          <w:b/>
          <w:color w:val="auto"/>
          <w:sz w:val="32"/>
          <w:szCs w:val="32"/>
          <w:highlight w:val="none"/>
        </w:rPr>
      </w:pPr>
    </w:p>
    <w:p>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pPr>
        <w:snapToGrid w:val="0"/>
        <w:spacing w:before="120" w:beforeLines="50" w:after="50"/>
        <w:jc w:val="center"/>
        <w:rPr>
          <w:rFonts w:hint="eastAsia" w:ascii="宋体" w:hAnsi="宋体" w:eastAsia="宋体" w:cs="Times New Roman"/>
          <w:b/>
          <w:color w:val="auto"/>
          <w:sz w:val="24"/>
          <w:highlight w:val="none"/>
        </w:rPr>
      </w:pPr>
    </w:p>
    <w:p>
      <w:pPr>
        <w:pStyle w:val="13"/>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bookmarkStart w:id="383" w:name="PO_3000001866_PM031_7"/>
      <w:r>
        <w:rPr>
          <w:rFonts w:hint="eastAsia" w:ascii="Times New Roman" w:hAnsi="Times New Roman" w:eastAsia="宋体" w:cs="Times New Roman"/>
          <w:color w:val="auto"/>
          <w:highlight w:val="none"/>
          <w:u w:val="single"/>
          <w:lang w:eastAsia="zh-CN"/>
        </w:rPr>
        <w:t>广西科联招标中心有限公司</w:t>
      </w:r>
      <w:bookmarkEnd w:id="383"/>
      <w:r>
        <w:rPr>
          <w:rFonts w:ascii="Times New Roman" w:hAnsi="Times New Roman" w:eastAsia="宋体" w:cs="Times New Roman"/>
          <w:color w:val="auto"/>
          <w:highlight w:val="none"/>
          <w:u w:val="single"/>
        </w:rPr>
        <w:t xml:space="preserve"> </w:t>
      </w:r>
    </w:p>
    <w:p>
      <w:pPr>
        <w:pStyle w:val="13"/>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pPr>
        <w:pStyle w:val="13"/>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pPr>
        <w:pStyle w:val="13"/>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pPr>
        <w:pStyle w:val="13"/>
        <w:spacing w:line="360" w:lineRule="exact"/>
        <w:ind w:firstLine="420"/>
        <w:rPr>
          <w:rFonts w:ascii="Times New Roman" w:hAnsi="Times New Roman" w:eastAsia="宋体" w:cs="Times New Roman"/>
          <w:color w:val="auto"/>
          <w:highlight w:val="none"/>
        </w:rPr>
      </w:pPr>
    </w:p>
    <w:p>
      <w:pPr>
        <w:pStyle w:val="13"/>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（或联合体投标</w:t>
      </w:r>
      <w:r>
        <w:rPr>
          <w:rFonts w:hint="eastAsia" w:eastAsia="宋体" w:cs="宋体"/>
          <w:color w:val="auto"/>
          <w:kern w:val="0"/>
          <w:szCs w:val="21"/>
          <w:highlight w:val="none"/>
        </w:rPr>
        <w:t>牵头人名称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pPr>
        <w:pStyle w:val="13"/>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pPr>
        <w:pStyle w:val="13"/>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pPr>
        <w:pStyle w:val="13"/>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pPr>
        <w:pStyle w:val="13"/>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pPr>
        <w:pStyle w:val="13"/>
        <w:spacing w:line="360" w:lineRule="exact"/>
        <w:ind w:firstLine="420"/>
        <w:rPr>
          <w:rFonts w:ascii="Times New Roman" w:hAnsi="Times New Roman" w:eastAsia="宋体" w:cs="Times New Roman"/>
          <w:color w:val="auto"/>
          <w:highlight w:val="none"/>
          <w:u w:val="single"/>
        </w:rPr>
      </w:pPr>
    </w:p>
    <w:p>
      <w:pPr>
        <w:pStyle w:val="13"/>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pPr>
        <w:pStyle w:val="13"/>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8"/>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13"/>
        <w:spacing w:line="360" w:lineRule="exact"/>
        <w:ind w:firstLine="420"/>
        <w:rPr>
          <w:rFonts w:hint="eastAsia" w:ascii="宋体" w:hAnsi="宋体" w:cs="宋体"/>
          <w:color w:val="auto"/>
          <w:highlight w:val="none"/>
          <w:u w:val="single"/>
        </w:rPr>
      </w:pPr>
    </w:p>
    <w:p>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pPr>
        <w:pStyle w:val="8"/>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pStyle w:val="13"/>
        <w:spacing w:line="360" w:lineRule="exact"/>
        <w:ind w:firstLine="420" w:firstLineChars="200"/>
        <w:rPr>
          <w:rFonts w:hint="eastAsia" w:eastAsia="宋体" w:cs="Times New Roman"/>
          <w:color w:val="auto"/>
          <w:highlight w:val="none"/>
        </w:rPr>
      </w:pPr>
      <w:r>
        <w:rPr>
          <w:rFonts w:hint="eastAsia" w:eastAsia="宋体" w:cs="Times New Roman"/>
          <w:color w:val="auto"/>
          <w:highlight w:val="none"/>
        </w:rPr>
        <w:t>......</w:t>
      </w:r>
    </w:p>
    <w:p>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pPr>
        <w:spacing w:line="360" w:lineRule="auto"/>
        <w:rPr>
          <w:rFonts w:hint="eastAsia" w:ascii="宋体" w:hAnsi="Times New Roman" w:eastAsia="宋体" w:cs="Times New Roman"/>
          <w:b/>
          <w:color w:val="auto"/>
          <w:sz w:val="24"/>
          <w:highlight w:val="none"/>
        </w:rPr>
      </w:pPr>
    </w:p>
    <w:p>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1"/>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pPr>
        <w:snapToGrid w:val="0"/>
        <w:spacing w:before="50" w:after="120" w:afterLines="50" w:line="360" w:lineRule="auto"/>
        <w:jc w:val="left"/>
        <w:rPr>
          <w:rFonts w:hint="eastAsia" w:ascii="仿宋_GB2312" w:hAnsi="仿宋_GB2312" w:eastAsia="仿宋_GB2312" w:cs="仿宋_GB2312"/>
          <w:color w:val="auto"/>
          <w:szCs w:val="21"/>
          <w:highlight w:val="none"/>
        </w:rPr>
      </w:pPr>
    </w:p>
    <w:p>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pPr>
        <w:jc w:val="center"/>
        <w:rPr>
          <w:rFonts w:hint="eastAsia" w:ascii="Times New Roman" w:hAnsi="Times New Roman" w:eastAsia="宋体" w:cs="Times New Roman"/>
          <w:b/>
          <w:bCs/>
          <w:color w:val="auto"/>
          <w:sz w:val="30"/>
          <w:szCs w:val="30"/>
          <w:highlight w:val="none"/>
        </w:rPr>
      </w:pPr>
    </w:p>
    <w:p>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pPr>
        <w:spacing w:line="360" w:lineRule="auto"/>
        <w:ind w:firstLine="0" w:firstLineChars="0"/>
        <w:contextualSpacing/>
        <w:rPr>
          <w:rFonts w:hint="eastAsia" w:ascii="宋体" w:hAnsi="宋体" w:cs="宋体"/>
          <w:color w:val="auto"/>
          <w:sz w:val="24"/>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pStyle w:val="13"/>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bl>
    <w:p>
      <w:pPr>
        <w:pStyle w:val="13"/>
        <w:spacing w:line="360" w:lineRule="auto"/>
        <w:ind w:left="-708" w:leftChars="-337"/>
        <w:rPr>
          <w:rFonts w:hint="eastAsia" w:ascii="Times New Roman" w:hAnsi="Times New Roman" w:eastAsia="宋体" w:cs="Times New Roman"/>
          <w:color w:val="auto"/>
          <w:highlight w:val="none"/>
        </w:rPr>
      </w:pPr>
    </w:p>
    <w:p>
      <w:pPr>
        <w:pStyle w:val="13"/>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pPr>
        <w:pStyle w:val="1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pPr>
        <w:pStyle w:val="13"/>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pPr>
        <w:pStyle w:val="13"/>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pPr>
        <w:pStyle w:val="13"/>
        <w:spacing w:line="360" w:lineRule="auto"/>
        <w:ind w:left="-708" w:leftChars="-337" w:firstLine="1050" w:firstLineChars="500"/>
        <w:rPr>
          <w:rFonts w:hint="eastAsia" w:ascii="宋体" w:hAnsi="宋体" w:eastAsia="宋体" w:cs="宋体"/>
          <w:color w:val="auto"/>
          <w:szCs w:val="21"/>
          <w:highlight w:val="none"/>
        </w:rPr>
      </w:pPr>
    </w:p>
    <w:p>
      <w:pPr>
        <w:snapToGrid w:val="0"/>
        <w:spacing w:before="50" w:after="50"/>
        <w:rPr>
          <w:rFonts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rPr>
          <w:rFonts w:hint="eastAsia"/>
          <w:color w:val="auto"/>
          <w:highlight w:val="none"/>
        </w:rPr>
      </w:pPr>
    </w:p>
    <w:p>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pPr>
        <w:pStyle w:val="13"/>
        <w:jc w:val="center"/>
        <w:outlineLvl w:val="1"/>
        <w:rPr>
          <w:rFonts w:hint="eastAsia" w:hAnsi="宋体" w:eastAsia="宋体" w:cs="Times New Roman"/>
          <w:b/>
          <w:bCs/>
          <w:color w:val="auto"/>
          <w:sz w:val="28"/>
          <w:szCs w:val="28"/>
          <w:highlight w:val="none"/>
        </w:rPr>
      </w:pPr>
      <w:bookmarkStart w:id="384" w:name="_Toc17437"/>
      <w:bookmarkStart w:id="385" w:name="_Toc585"/>
      <w:bookmarkStart w:id="386" w:name="_Toc24098"/>
      <w:bookmarkStart w:id="387" w:name="_Toc8889"/>
      <w:bookmarkStart w:id="388" w:name="_Toc19686839"/>
      <w:bookmarkStart w:id="389" w:name="_Toc23685"/>
      <w:bookmarkStart w:id="390" w:name="_Toc10197"/>
      <w:bookmarkStart w:id="391" w:name="_Toc24407"/>
      <w:bookmarkStart w:id="392" w:name="_Toc1161"/>
      <w:bookmarkStart w:id="393" w:name="_Toc10435"/>
      <w:bookmarkStart w:id="394" w:name="_Toc2775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84"/>
      <w:bookmarkEnd w:id="385"/>
      <w:bookmarkEnd w:id="386"/>
      <w:bookmarkEnd w:id="387"/>
      <w:bookmarkEnd w:id="388"/>
      <w:bookmarkEnd w:id="389"/>
      <w:bookmarkEnd w:id="390"/>
      <w:bookmarkEnd w:id="391"/>
      <w:bookmarkEnd w:id="392"/>
      <w:bookmarkEnd w:id="393"/>
      <w:bookmarkEnd w:id="394"/>
    </w:p>
    <w:p>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bCs/>
          <w:color w:val="auto"/>
          <w:sz w:val="32"/>
          <w:szCs w:val="32"/>
          <w:highlight w:val="none"/>
        </w:rPr>
      </w:pPr>
    </w:p>
    <w:p>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snapToGrid w:val="0"/>
        <w:spacing w:before="165" w:beforeLines="50" w:after="50"/>
        <w:ind w:firstLine="645"/>
        <w:jc w:val="center"/>
        <w:rPr>
          <w:rFonts w:hint="eastAsia" w:ascii="宋体" w:hAnsi="宋体" w:eastAsia="宋体" w:cs="Times New Roman"/>
          <w:color w:val="auto"/>
          <w:sz w:val="24"/>
          <w:szCs w:val="20"/>
          <w:highlight w:val="none"/>
        </w:rPr>
      </w:pPr>
    </w:p>
    <w:p>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pPr>
        <w:numPr>
          <w:ilvl w:val="0"/>
          <w:numId w:val="4"/>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pPr>
        <w:pStyle w:val="13"/>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pPr>
        <w:pStyle w:val="13"/>
        <w:spacing w:line="440" w:lineRule="exact"/>
        <w:ind w:firstLine="420" w:firstLineChars="200"/>
        <w:rPr>
          <w:rFonts w:eastAsia="宋体" w:cs="Times New Roman"/>
          <w:color w:val="auto"/>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pStyle w:val="13"/>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pPr>
        <w:pStyle w:val="8"/>
        <w:rPr>
          <w:rFonts w:hint="eastAsia"/>
          <w:color w:val="auto"/>
          <w:highlight w:val="none"/>
        </w:rPr>
      </w:pPr>
    </w:p>
    <w:p>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pPr>
        <w:rPr>
          <w:rFonts w:hint="eastAsia"/>
          <w:color w:val="auto"/>
          <w:highlight w:val="none"/>
        </w:rPr>
      </w:pP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bl>
    <w:p>
      <w:pPr>
        <w:pStyle w:val="13"/>
        <w:spacing w:line="360" w:lineRule="auto"/>
        <w:ind w:firstLine="0" w:firstLineChars="0"/>
        <w:rPr>
          <w:rFonts w:hint="eastAsia" w:hAnsi="宋体" w:cs="宋体"/>
          <w:color w:val="auto"/>
          <w:szCs w:val="21"/>
          <w:highlight w:val="none"/>
        </w:rPr>
      </w:pPr>
    </w:p>
    <w:p>
      <w:pPr>
        <w:pStyle w:val="13"/>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pPr>
        <w:pStyle w:val="13"/>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pPr>
        <w:pStyle w:val="13"/>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pPr>
        <w:pStyle w:val="13"/>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pPr>
        <w:pStyle w:val="8"/>
        <w:rPr>
          <w:rFonts w:hint="eastAsia" w:hAnsi="宋体" w:eastAsia="宋体" w:cs="宋体"/>
          <w:color w:val="auto"/>
          <w:szCs w:val="21"/>
          <w:highlight w:val="none"/>
        </w:rPr>
      </w:pPr>
    </w:p>
    <w:p>
      <w:pPr>
        <w:rPr>
          <w:rFonts w:hint="eastAsia" w:hAnsi="宋体" w:eastAsia="宋体" w:cs="宋体"/>
          <w:color w:val="auto"/>
          <w:szCs w:val="21"/>
          <w:highlight w:val="none"/>
        </w:rPr>
      </w:pPr>
    </w:p>
    <w:p>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pPr>
        <w:snapToGrid w:val="0"/>
        <w:spacing w:before="165" w:beforeLines="50" w:after="50"/>
        <w:ind w:left="142"/>
        <w:jc w:val="center"/>
        <w:rPr>
          <w:rFonts w:hint="eastAsia" w:ascii="宋体" w:hAnsi="宋体" w:eastAsia="宋体" w:cs="Times New Roman"/>
          <w:b/>
          <w:color w:val="auto"/>
          <w:sz w:val="32"/>
          <w:szCs w:val="32"/>
          <w:highlight w:val="none"/>
        </w:rPr>
      </w:pP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1"/>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pPr>
        <w:autoSpaceDE w:val="0"/>
        <w:autoSpaceDN w:val="0"/>
        <w:spacing w:line="360" w:lineRule="auto"/>
        <w:rPr>
          <w:rFonts w:hint="eastAsia" w:ascii="仿宋_GB2312" w:hAnsi="仿宋" w:eastAsia="仿宋_GB2312" w:cs="仿宋_GB2312"/>
          <w:color w:val="auto"/>
          <w:kern w:val="0"/>
          <w:sz w:val="24"/>
          <w:highlight w:val="none"/>
        </w:rPr>
      </w:pPr>
    </w:p>
    <w:p>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napToGrid w:val="0"/>
        <w:spacing w:before="165" w:beforeLines="50" w:after="50"/>
        <w:ind w:left="142"/>
        <w:jc w:val="center"/>
        <w:rPr>
          <w:rFonts w:hint="eastAsia" w:ascii="宋体" w:hAnsi="宋体" w:eastAsia="宋体" w:cs="Times New Roman"/>
          <w:b/>
          <w:color w:val="auto"/>
          <w:sz w:val="32"/>
          <w:szCs w:val="32"/>
          <w:highlight w:val="none"/>
        </w:rPr>
      </w:pPr>
    </w:p>
    <w:p>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pPr>
        <w:pStyle w:val="17"/>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pPr>
        <w:snapToGrid w:val="0"/>
        <w:spacing w:before="165" w:beforeLines="50" w:after="50"/>
        <w:ind w:left="142"/>
        <w:jc w:val="left"/>
        <w:rPr>
          <w:rFonts w:hint="eastAsia" w:ascii="宋体" w:hAnsi="宋体" w:eastAsia="宋体" w:cs="Times New Roman"/>
          <w:b/>
          <w:color w:val="auto"/>
          <w:sz w:val="32"/>
          <w:szCs w:val="32"/>
          <w:highlight w:val="none"/>
        </w:rPr>
      </w:pPr>
    </w:p>
    <w:p>
      <w:pP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r>
        <w:rPr>
          <w:rFonts w:hint="eastAsia" w:ascii="宋体" w:hAnsi="宋体" w:eastAsia="宋体" w:cs="Times New Roman"/>
          <w:b/>
          <w:i/>
          <w:iCs/>
          <w:color w:val="auto"/>
          <w:sz w:val="32"/>
          <w:szCs w:val="32"/>
          <w:highlight w:val="none"/>
        </w:rPr>
        <w:t>（如有要求）</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pPr>
        <w:pStyle w:val="13"/>
        <w:rPr>
          <w:rFonts w:hint="eastAsia" w:eastAsia="宋体" w:cs="Times New Roman"/>
          <w:color w:val="auto"/>
          <w:sz w:val="24"/>
          <w:szCs w:val="24"/>
          <w:highlight w:val="none"/>
        </w:rPr>
      </w:pPr>
    </w:p>
    <w:p>
      <w:pPr>
        <w:pStyle w:val="13"/>
        <w:rPr>
          <w:rFonts w:hint="eastAsia" w:eastAsia="宋体" w:cs="Times New Roman"/>
          <w:color w:val="auto"/>
          <w:sz w:val="24"/>
          <w:szCs w:val="24"/>
          <w:highlight w:val="none"/>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pPr>
        <w:snapToGrid w:val="0"/>
        <w:spacing w:before="50" w:after="50"/>
        <w:rPr>
          <w:rFonts w:hint="eastAsia" w:ascii="宋体" w:hAnsi="宋体" w:eastAsia="宋体" w:cs="Times New Roman"/>
          <w:color w:val="auto"/>
          <w:sz w:val="24"/>
          <w:highlight w:val="none"/>
        </w:rPr>
      </w:pPr>
    </w:p>
    <w:p>
      <w:pPr>
        <w:pStyle w:val="13"/>
        <w:jc w:val="center"/>
        <w:outlineLvl w:val="1"/>
        <w:rPr>
          <w:rFonts w:hint="eastAsia" w:hAnsi="宋体" w:eastAsia="宋体" w:cs="Times New Roman"/>
          <w:b/>
          <w:bCs/>
          <w:color w:val="auto"/>
          <w:sz w:val="28"/>
          <w:szCs w:val="28"/>
          <w:highlight w:val="none"/>
        </w:rPr>
      </w:pPr>
      <w:bookmarkStart w:id="395" w:name="_Toc28617"/>
      <w:bookmarkStart w:id="396" w:name="_Toc31920"/>
      <w:bookmarkStart w:id="397" w:name="_Toc17719"/>
      <w:bookmarkStart w:id="398" w:name="_Toc1343"/>
      <w:bookmarkStart w:id="399" w:name="_Toc22926"/>
      <w:bookmarkStart w:id="400" w:name="_Toc12868"/>
      <w:bookmarkStart w:id="401" w:name="_Toc12675"/>
      <w:bookmarkStart w:id="402" w:name="_Toc30951"/>
      <w:bookmarkStart w:id="403" w:name="_Toc9015"/>
      <w:bookmarkStart w:id="404" w:name="_Toc3481"/>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95"/>
      <w:bookmarkEnd w:id="396"/>
      <w:bookmarkEnd w:id="397"/>
      <w:bookmarkEnd w:id="398"/>
      <w:bookmarkEnd w:id="399"/>
      <w:bookmarkEnd w:id="400"/>
      <w:bookmarkEnd w:id="401"/>
      <w:bookmarkEnd w:id="402"/>
      <w:bookmarkEnd w:id="403"/>
      <w:bookmarkEnd w:id="404"/>
    </w:p>
    <w:p>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pPr>
        <w:snapToGrid w:val="0"/>
        <w:spacing w:before="165" w:beforeLines="50" w:after="50" w:line="400" w:lineRule="exact"/>
        <w:rPr>
          <w:rFonts w:hint="eastAsia" w:ascii="宋体" w:hAnsi="宋体" w:eastAsia="宋体" w:cs="Times New Roman"/>
          <w:color w:val="auto"/>
          <w:sz w:val="24"/>
          <w:highlight w:val="none"/>
        </w:rPr>
      </w:pPr>
    </w:p>
    <w:p>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pPr>
        <w:snapToGrid w:val="0"/>
        <w:spacing w:before="165" w:beforeLines="50" w:after="50" w:line="400" w:lineRule="exact"/>
        <w:jc w:val="center"/>
        <w:rPr>
          <w:rFonts w:hint="eastAsia" w:ascii="宋体" w:hAnsi="宋体" w:eastAsia="宋体" w:cs="Times New Roman"/>
          <w:bCs/>
          <w:color w:val="auto"/>
          <w:sz w:val="24"/>
          <w:szCs w:val="20"/>
          <w:highlight w:val="none"/>
        </w:rPr>
      </w:pPr>
    </w:p>
    <w:p>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13"/>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pPr>
        <w:pStyle w:val="13"/>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pPr>
        <w:pStyle w:val="13"/>
        <w:spacing w:line="440" w:lineRule="exact"/>
        <w:ind w:firstLine="420" w:firstLineChars="200"/>
        <w:rPr>
          <w:rFonts w:hint="eastAsia" w:ascii="Times New Roman" w:hAnsi="Times New Roman" w:eastAsia="宋体" w:cs="Times New Roman"/>
          <w:color w:val="auto"/>
          <w:highlight w:val="none"/>
        </w:rPr>
      </w:pPr>
    </w:p>
    <w:p>
      <w:pPr>
        <w:pStyle w:val="13"/>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405" w:name="PO_3000001866_PM031_4"/>
      <w:r>
        <w:rPr>
          <w:rFonts w:hint="eastAsia" w:ascii="Times New Roman" w:hAnsi="Times New Roman" w:eastAsia="宋体" w:cs="Times New Roman"/>
          <w:color w:val="auto"/>
          <w:highlight w:val="none"/>
          <w:u w:val="single"/>
          <w:lang w:eastAsia="zh-CN"/>
        </w:rPr>
        <w:t>广西科联招标中心有限公司</w:t>
      </w:r>
      <w:bookmarkEnd w:id="405"/>
    </w:p>
    <w:p>
      <w:pPr>
        <w:pStyle w:val="13"/>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pPr>
        <w:pStyle w:val="13"/>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pPr>
        <w:pStyle w:val="13"/>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pPr>
        <w:pStyle w:val="13"/>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pPr>
        <w:pStyle w:val="13"/>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pPr>
        <w:pStyle w:val="13"/>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pPr>
        <w:pStyle w:val="13"/>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pPr>
        <w:pStyle w:val="13"/>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pStyle w:val="13"/>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pPr>
        <w:pStyle w:val="13"/>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pPr>
        <w:pStyle w:val="13"/>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pPr>
        <w:pStyle w:val="13"/>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pPr>
        <w:pStyle w:val="13"/>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pPr>
        <w:pStyle w:val="13"/>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pPr>
        <w:pStyle w:val="8"/>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pPr>
        <w:pStyle w:val="13"/>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pPr>
        <w:pStyle w:val="13"/>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w:t>
      </w:r>
      <w:r>
        <w:rPr>
          <w:rFonts w:hint="eastAsia" w:ascii="宋体" w:hAnsi="宋体" w:cs="宋体"/>
          <w:bCs/>
          <w:color w:val="auto"/>
          <w:sz w:val="24"/>
          <w:highlight w:val="none"/>
        </w:rPr>
        <w:t>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Times New Roman"/>
          <w:color w:val="auto"/>
          <w:sz w:val="24"/>
          <w:highlight w:val="none"/>
          <w:u w:val="none"/>
          <w:lang w:val="en-US" w:eastAsia="zh-CN"/>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247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bookmarkStart w:id="406" w:name="OLE_LINK7"/>
            <w:r>
              <w:rPr>
                <w:rFonts w:hint="eastAsia" w:ascii="宋体" w:hAnsi="宋体" w:eastAsia="宋体" w:cs="Times New Roman"/>
                <w:color w:val="auto"/>
                <w:szCs w:val="22"/>
                <w:highlight w:val="none"/>
              </w:rPr>
              <w:t>序号</w:t>
            </w:r>
            <w:bookmarkEnd w:id="406"/>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单项合价（元）</w:t>
            </w:r>
          </w:p>
          <w:p>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p>
            <w:pPr>
              <w:spacing w:line="360" w:lineRule="auto"/>
              <w:jc w:val="left"/>
              <w:rPr>
                <w:rFonts w:hint="eastAsia" w:ascii="宋体" w:hAnsi="宋体" w:eastAsia="宋体" w:cs="Times New Roman"/>
                <w:color w:val="auto"/>
                <w:szCs w:val="22"/>
                <w:highlight w:val="none"/>
              </w:rPr>
            </w:pPr>
            <w:r>
              <w:rPr>
                <w:rFonts w:hint="eastAsia" w:ascii="宋体" w:hAnsi="宋体" w:cs="Times New Roman"/>
                <w:color w:val="auto"/>
                <w:szCs w:val="21"/>
                <w:highlight w:val="none"/>
                <w:lang w:eastAsia="zh-CN"/>
              </w:rPr>
              <w:t>服务期限：</w:t>
            </w:r>
          </w:p>
        </w:tc>
      </w:tr>
    </w:tbl>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pPr>
        <w:snapToGrid w:val="0"/>
        <w:spacing w:before="50" w:after="50" w:line="360" w:lineRule="auto"/>
        <w:ind w:firstLine="482" w:firstLineChars="200"/>
        <w:jc w:val="left"/>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1.本项目为采用固定价格采购的项目，价格不列为评审因素，每个培训工种的单价按采购人公布的标准执行。供应商需以分标预算作为开标一览表中的投标总报价。</w:t>
      </w:r>
    </w:p>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本表内容均不能涂改，</w:t>
      </w:r>
      <w:r>
        <w:rPr>
          <w:rFonts w:hint="eastAsia" w:ascii="宋体" w:hAnsi="宋体" w:eastAsia="宋体" w:cs="宋体"/>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5.请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服务要求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7.</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10"/>
        <w:rPr>
          <w:rFonts w:hint="eastAsia" w:ascii="宋体" w:hAnsi="宋体" w:eastAsia="宋体" w:cs="宋体"/>
          <w:color w:val="auto"/>
          <w:highlight w:val="none"/>
          <w:lang w:val="zh-CN"/>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jc w:val="center"/>
        <w:outlineLvl w:val="1"/>
        <w:rPr>
          <w:rFonts w:ascii="宋体" w:hAnsi="宋体" w:eastAsia="宋体" w:cs="Times New Roman"/>
          <w:b/>
          <w:bCs/>
          <w:color w:val="auto"/>
          <w:sz w:val="28"/>
          <w:szCs w:val="28"/>
          <w:highlight w:val="none"/>
        </w:rPr>
      </w:pPr>
      <w:bookmarkStart w:id="407"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407"/>
    </w:p>
    <w:p>
      <w:pPr>
        <w:pStyle w:val="13"/>
        <w:jc w:val="center"/>
        <w:rPr>
          <w:rFonts w:hint="eastAsia" w:ascii="Times New Roman" w:hAnsi="Times New Roman" w:eastAsia="宋体" w:cs="Times New Roman"/>
          <w:b/>
          <w:color w:val="auto"/>
          <w:sz w:val="30"/>
          <w:szCs w:val="30"/>
          <w:highlight w:val="none"/>
        </w:rPr>
      </w:pPr>
    </w:p>
    <w:p>
      <w:pPr>
        <w:pStyle w:val="13"/>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pPr>
        <w:pStyle w:val="13"/>
        <w:jc w:val="center"/>
        <w:rPr>
          <w:rFonts w:hint="eastAsia" w:ascii="Times New Roman" w:hAnsi="Times New Roman" w:eastAsia="宋体" w:cs="Times New Roman"/>
          <w:b/>
          <w:color w:val="auto"/>
          <w:sz w:val="30"/>
          <w:szCs w:val="30"/>
          <w:highlight w:val="none"/>
        </w:rPr>
      </w:pPr>
    </w:p>
    <w:p>
      <w:pPr>
        <w:pStyle w:val="13"/>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pPr>
        <w:pStyle w:val="11"/>
        <w:spacing w:line="240" w:lineRule="auto"/>
        <w:ind w:firstLine="404" w:firstLineChars="200"/>
        <w:rPr>
          <w:rFonts w:ascii="Times New Roman" w:hAnsi="宋体" w:eastAsia="宋体" w:cs="Times New Roman"/>
          <w:color w:val="auto"/>
          <w:sz w:val="21"/>
          <w:szCs w:val="21"/>
          <w:highlight w:val="none"/>
        </w:rPr>
      </w:pP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pPr>
        <w:pStyle w:val="13"/>
        <w:spacing w:line="360" w:lineRule="auto"/>
        <w:ind w:firstLine="420" w:firstLineChars="200"/>
        <w:rPr>
          <w:rFonts w:hint="eastAsia" w:hAnsi="宋体" w:eastAsia="宋体" w:cs="Times New Roman"/>
          <w:color w:val="auto"/>
          <w:szCs w:val="21"/>
          <w:highlight w:val="none"/>
        </w:rPr>
      </w:pPr>
    </w:p>
    <w:p>
      <w:pPr>
        <w:pStyle w:val="13"/>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pacing w:line="360" w:lineRule="auto"/>
        <w:ind w:firstLine="420" w:firstLineChars="200"/>
        <w:rPr>
          <w:rFonts w:hint="eastAsia" w:hAnsi="宋体" w:eastAsia="宋体" w:cs="Times New Roman"/>
          <w:color w:val="auto"/>
          <w:szCs w:val="21"/>
          <w:highlight w:val="none"/>
        </w:rPr>
      </w:pPr>
    </w:p>
    <w:p>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6"/>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pPr>
        <w:pStyle w:val="11"/>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pPr>
        <w:pStyle w:val="11"/>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pPr>
        <w:pStyle w:val="14"/>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pP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pPr>
        <w:jc w:val="left"/>
        <w:rPr>
          <w:rFonts w:hint="eastAsia" w:hAnsi="宋体" w:cs="宋体"/>
          <w:b/>
          <w:color w:val="auto"/>
          <w:sz w:val="28"/>
          <w:szCs w:val="28"/>
          <w:highlight w:val="none"/>
          <w:lang w:val="en-US" w:eastAsia="zh-CN"/>
        </w:rPr>
      </w:pPr>
    </w:p>
    <w:p>
      <w:pPr>
        <w:jc w:val="left"/>
        <w:rPr>
          <w:rFonts w:hint="eastAsia" w:hAnsi="宋体" w:cs="宋体"/>
          <w:b/>
          <w:color w:val="auto"/>
          <w:sz w:val="28"/>
          <w:szCs w:val="28"/>
          <w:highlight w:val="none"/>
          <w:lang w:val="en" w:eastAsia="zh-CN"/>
        </w:rPr>
      </w:pPr>
    </w:p>
    <w:p>
      <w:pPr>
        <w:pStyle w:val="13"/>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pPr>
        <w:pStyle w:val="13"/>
        <w:spacing w:line="360" w:lineRule="auto"/>
        <w:jc w:val="center"/>
        <w:rPr>
          <w:rFonts w:hint="eastAsia" w:eastAsia="宋体" w:cs="Times New Roman"/>
          <w:b/>
          <w:color w:val="auto"/>
          <w:sz w:val="30"/>
          <w:szCs w:val="30"/>
          <w:highlight w:val="none"/>
        </w:rPr>
      </w:pPr>
    </w:p>
    <w:p>
      <w:pPr>
        <w:pStyle w:val="13"/>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pPr>
        <w:pStyle w:val="13"/>
        <w:spacing w:line="360" w:lineRule="auto"/>
        <w:jc w:val="left"/>
        <w:rPr>
          <w:rFonts w:hint="eastAsia" w:ascii="宋体" w:hAnsi="宋体" w:eastAsia="宋体" w:cs="宋体"/>
          <w:b/>
          <w:color w:val="auto"/>
          <w:szCs w:val="21"/>
          <w:highlight w:val="none"/>
        </w:rPr>
      </w:pPr>
    </w:p>
    <w:p>
      <w:pPr>
        <w:pStyle w:val="13"/>
        <w:spacing w:line="360" w:lineRule="auto"/>
        <w:jc w:val="left"/>
        <w:rPr>
          <w:rFonts w:hint="eastAsia" w:ascii="宋体" w:hAnsi="宋体" w:eastAsia="宋体" w:cs="宋体"/>
          <w:b/>
          <w:color w:val="auto"/>
          <w:szCs w:val="21"/>
          <w:highlight w:val="none"/>
        </w:rPr>
      </w:pPr>
    </w:p>
    <w:p>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pacing w:line="360" w:lineRule="auto"/>
        <w:ind w:left="5132" w:leftChars="1979" w:hanging="976" w:hangingChars="488"/>
        <w:rPr>
          <w:rFonts w:hint="eastAsia" w:ascii="宋体" w:hAnsi="宋体" w:eastAsia="宋体" w:cs="宋体"/>
          <w:color w:val="auto"/>
          <w:sz w:val="20"/>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pacing w:line="240" w:lineRule="auto"/>
        <w:jc w:val="left"/>
        <w:rPr>
          <w:color w:val="auto"/>
          <w:sz w:val="20"/>
          <w:highlight w:val="none"/>
        </w:rPr>
      </w:pPr>
      <w:r>
        <w:rPr>
          <w:color w:val="auto"/>
          <w:sz w:val="20"/>
          <w:highlight w:val="none"/>
        </w:rPr>
        <w:br w:type="page"/>
      </w:r>
    </w:p>
    <w:p>
      <w:pPr>
        <w:pStyle w:val="14"/>
        <w:numPr>
          <w:ilvl w:val="0"/>
          <w:numId w:val="4"/>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pPr>
        <w:pStyle w:val="14"/>
        <w:numPr>
          <w:ilvl w:val="0"/>
          <w:numId w:val="0"/>
        </w:numPr>
        <w:rPr>
          <w:rFonts w:hint="eastAsia" w:ascii="宋体" w:hAnsi="宋体" w:eastAsia="宋体" w:cs="宋体"/>
          <w:color w:val="auto"/>
          <w:kern w:val="0"/>
          <w:sz w:val="28"/>
          <w:szCs w:val="28"/>
          <w:highlight w:val="none"/>
          <w:lang w:eastAsia="zh-CN"/>
        </w:rPr>
      </w:pPr>
    </w:p>
    <w:p>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pPr>
        <w:shd w:val="clear" w:color="auto" w:fill="FFFFFF"/>
        <w:spacing w:line="480" w:lineRule="atLeast"/>
        <w:jc w:val="center"/>
        <w:rPr>
          <w:rFonts w:hint="eastAsia" w:ascii="宋体" w:hAnsi="宋体" w:eastAsia="宋体" w:cs="宋体"/>
          <w:color w:val="auto"/>
          <w:kern w:val="0"/>
          <w:sz w:val="32"/>
          <w:szCs w:val="32"/>
          <w:highlight w:val="none"/>
        </w:rPr>
      </w:pPr>
    </w:p>
    <w:p>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1"/>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pPr>
        <w:pStyle w:val="14"/>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pPr>
        <w:jc w:val="center"/>
        <w:rPr>
          <w:rFonts w:hint="eastAsia" w:ascii="宋体" w:hAnsi="宋体" w:eastAsia="宋体" w:cs="宋体"/>
          <w:color w:val="auto"/>
          <w:sz w:val="36"/>
          <w:szCs w:val="36"/>
          <w:highlight w:val="none"/>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pPr>
              <w:rPr>
                <w:rFonts w:hint="eastAsia" w:ascii="宋体" w:hAnsi="宋体" w:eastAsia="宋体" w:cs="宋体"/>
                <w:color w:val="auto"/>
                <w:sz w:val="24"/>
                <w:highlight w:val="none"/>
              </w:rPr>
            </w:pPr>
          </w:p>
        </w:tc>
        <w:tc>
          <w:tcPr>
            <w:tcW w:w="8456" w:type="dxa"/>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pPr>
              <w:rPr>
                <w:rFonts w:hint="eastAsia" w:ascii="宋体" w:hAnsi="宋体" w:eastAsia="宋体" w:cs="宋体"/>
                <w:color w:val="auto"/>
                <w:sz w:val="24"/>
                <w:highlight w:val="none"/>
              </w:rPr>
            </w:pPr>
          </w:p>
        </w:tc>
        <w:tc>
          <w:tcPr>
            <w:tcW w:w="8456" w:type="dxa"/>
            <w:noWrap w:val="0"/>
            <w:vAlign w:val="top"/>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pPr>
              <w:spacing w:line="400" w:lineRule="exact"/>
              <w:rPr>
                <w:rFonts w:hint="eastAsia" w:ascii="宋体" w:hAnsi="宋体" w:eastAsia="宋体" w:cs="宋体"/>
                <w:color w:val="auto"/>
                <w:sz w:val="24"/>
                <w:highlight w:val="none"/>
              </w:rPr>
            </w:pP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pPr>
              <w:rPr>
                <w:rFonts w:hint="eastAsia" w:ascii="宋体" w:hAnsi="宋体" w:eastAsia="宋体" w:cs="宋体"/>
                <w:color w:val="auto"/>
                <w:sz w:val="24"/>
                <w:highlight w:val="none"/>
              </w:rPr>
            </w:pPr>
          </w:p>
        </w:tc>
      </w:tr>
    </w:tbl>
    <w:p>
      <w:pPr>
        <w:pStyle w:val="10"/>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pPr>
        <w:pStyle w:val="13"/>
        <w:snapToGrid w:val="0"/>
        <w:spacing w:before="120" w:after="120"/>
        <w:rPr>
          <w:rFonts w:hint="eastAsia" w:hAnsi="宋体" w:eastAsia="宋体" w:cs="宋体"/>
          <w:color w:val="auto"/>
          <w:highlight w:val="none"/>
        </w:rPr>
      </w:pPr>
    </w:p>
    <w:p>
      <w:pPr>
        <w:snapToGrid w:val="0"/>
        <w:spacing w:before="50" w:after="165" w:afterLines="50" w:line="360" w:lineRule="auto"/>
        <w:jc w:val="left"/>
        <w:rPr>
          <w:rFonts w:hint="eastAsia" w:ascii="Times New Roman" w:hAnsi="Times New Roman" w:eastAsia="宋体" w:cs="Times New Roman"/>
          <w:color w:val="auto"/>
          <w:sz w:val="20"/>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408" w:name="_Toc7254"/>
      <w:bookmarkStart w:id="409" w:name="_Toc18173"/>
      <w:bookmarkStart w:id="410" w:name="_Toc17736"/>
      <w:bookmarkStart w:id="411" w:name="_Toc6635"/>
      <w:bookmarkStart w:id="412" w:name="_Toc21753"/>
      <w:bookmarkStart w:id="413" w:name="_Toc31429"/>
      <w:bookmarkStart w:id="414" w:name="_Toc2211"/>
      <w:bookmarkStart w:id="415" w:name="_Toc25113"/>
      <w:bookmarkStart w:id="416" w:name="_Toc32028"/>
      <w:bookmarkStart w:id="417" w:name="_Toc491"/>
      <w:bookmarkStart w:id="418" w:name="_Toc11260"/>
      <w:bookmarkStart w:id="419" w:name="_Toc31310"/>
      <w:bookmarkStart w:id="420" w:name="_Toc7244"/>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408"/>
      <w:bookmarkEnd w:id="409"/>
      <w:bookmarkEnd w:id="410"/>
      <w:bookmarkEnd w:id="411"/>
      <w:bookmarkEnd w:id="412"/>
      <w:bookmarkEnd w:id="413"/>
      <w:bookmarkEnd w:id="414"/>
      <w:bookmarkEnd w:id="415"/>
      <w:bookmarkEnd w:id="416"/>
      <w:bookmarkEnd w:id="417"/>
      <w:bookmarkEnd w:id="418"/>
      <w:bookmarkEnd w:id="419"/>
      <w:bookmarkEnd w:id="420"/>
    </w:p>
    <w:p>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3"/>
        <w:jc w:val="center"/>
        <w:rPr>
          <w:rFonts w:hint="eastAsia" w:ascii="宋体" w:hAnsi="宋体" w:cs="Times New Roman"/>
          <w:b w:val="0"/>
          <w:bCs w:val="0"/>
          <w:color w:val="auto"/>
          <w:highlight w:val="none"/>
        </w:rPr>
      </w:pPr>
      <w:bookmarkStart w:id="421" w:name="_Toc17610"/>
      <w:bookmarkStart w:id="422" w:name="_Toc990"/>
      <w:bookmarkStart w:id="423" w:name="_Toc15096"/>
      <w:bookmarkStart w:id="424" w:name="_Toc3458"/>
      <w:bookmarkStart w:id="425" w:name="_Toc22595"/>
      <w:bookmarkStart w:id="426" w:name="_Toc22540"/>
      <w:bookmarkStart w:id="427" w:name="_Toc12016"/>
      <w:bookmarkStart w:id="428" w:name="_Toc25538"/>
      <w:bookmarkStart w:id="429" w:name="_Toc10944"/>
      <w:bookmarkStart w:id="430" w:name="_Toc31800"/>
      <w:r>
        <w:rPr>
          <w:rFonts w:hint="eastAsia" w:ascii="宋体" w:hAnsi="宋体" w:cs="Times New Roman"/>
          <w:b w:val="0"/>
          <w:bCs w:val="0"/>
          <w:color w:val="auto"/>
          <w:highlight w:val="none"/>
        </w:rPr>
        <w:t>第一节 质疑函（格式）</w:t>
      </w:r>
      <w:bookmarkEnd w:id="421"/>
      <w:bookmarkEnd w:id="422"/>
      <w:bookmarkEnd w:id="423"/>
      <w:bookmarkEnd w:id="424"/>
      <w:bookmarkEnd w:id="425"/>
      <w:bookmarkEnd w:id="426"/>
      <w:bookmarkEnd w:id="427"/>
      <w:bookmarkEnd w:id="428"/>
      <w:bookmarkEnd w:id="429"/>
      <w:bookmarkEnd w:id="430"/>
    </w:p>
    <w:p>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1" w:name="PO_3000001867_PM026_5"/>
      <w:r>
        <w:rPr>
          <w:rFonts w:hint="eastAsia" w:ascii="宋体" w:hAnsi="宋体" w:eastAsia="宋体" w:cs="宋体"/>
          <w:color w:val="auto"/>
          <w:sz w:val="24"/>
          <w:szCs w:val="24"/>
          <w:highlight w:val="none"/>
          <w:u w:val="dotted"/>
        </w:rPr>
        <w:t xml:space="preserve">                        </w:t>
      </w:r>
      <w:bookmarkEnd w:id="431"/>
      <w:r>
        <w:rPr>
          <w:rFonts w:hint="eastAsia" w:ascii="宋体" w:hAnsi="宋体" w:eastAsia="宋体" w:cs="宋体"/>
          <w:color w:val="auto"/>
          <w:sz w:val="24"/>
          <w:szCs w:val="24"/>
          <w:highlight w:val="none"/>
          <w:u w:val="dotted"/>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pPr>
        <w:pStyle w:val="3"/>
        <w:jc w:val="center"/>
        <w:rPr>
          <w:rFonts w:hint="eastAsia" w:ascii="宋体" w:hAnsi="宋体" w:cs="Times New Roman"/>
          <w:b w:val="0"/>
          <w:bCs w:val="0"/>
          <w:color w:val="auto"/>
          <w:highlight w:val="none"/>
        </w:rPr>
      </w:pPr>
      <w:bookmarkStart w:id="432" w:name="_Toc32540"/>
      <w:bookmarkStart w:id="433" w:name="_Toc7549"/>
      <w:bookmarkStart w:id="434" w:name="_Toc11984"/>
      <w:bookmarkStart w:id="435" w:name="_Toc24568"/>
      <w:bookmarkStart w:id="436" w:name="_Toc11428"/>
      <w:bookmarkStart w:id="437" w:name="_Toc31203"/>
      <w:bookmarkStart w:id="438" w:name="_Toc1896"/>
      <w:bookmarkStart w:id="439" w:name="_Toc6551"/>
      <w:bookmarkStart w:id="440" w:name="_Toc24894"/>
      <w:bookmarkStart w:id="441" w:name="_Toc8862"/>
      <w:r>
        <w:rPr>
          <w:rFonts w:hint="eastAsia" w:ascii="宋体" w:hAnsi="宋体" w:cs="Times New Roman"/>
          <w:b w:val="0"/>
          <w:bCs w:val="0"/>
          <w:color w:val="auto"/>
          <w:highlight w:val="none"/>
        </w:rPr>
        <w:t>第二节 投诉书（格式）</w:t>
      </w:r>
      <w:bookmarkEnd w:id="432"/>
      <w:bookmarkEnd w:id="433"/>
      <w:bookmarkEnd w:id="434"/>
      <w:bookmarkEnd w:id="435"/>
      <w:bookmarkEnd w:id="436"/>
      <w:bookmarkEnd w:id="437"/>
      <w:bookmarkEnd w:id="438"/>
      <w:bookmarkEnd w:id="439"/>
      <w:bookmarkEnd w:id="440"/>
      <w:bookmarkEnd w:id="441"/>
    </w:p>
    <w:p>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pPr>
        <w:rPr>
          <w:rFonts w:hint="eastAsia" w:ascii="黑体" w:hAnsi="黑体" w:eastAsia="黑体" w:cs="Times New Roman"/>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42" w:name="PO_3000001867_PM002_12"/>
      <w:r>
        <w:rPr>
          <w:rFonts w:hint="eastAsia" w:ascii="宋体" w:hAnsi="宋体" w:eastAsia="宋体" w:cs="宋体"/>
          <w:color w:val="auto"/>
          <w:sz w:val="24"/>
          <w:szCs w:val="24"/>
          <w:highlight w:val="none"/>
          <w:u w:val="dotted"/>
        </w:rPr>
        <w:t xml:space="preserve">                    </w:t>
      </w:r>
      <w:bookmarkEnd w:id="442"/>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43" w:name="PO_3000001867_PM001_9"/>
      <w:r>
        <w:rPr>
          <w:rFonts w:hint="eastAsia" w:ascii="宋体" w:hAnsi="宋体" w:eastAsia="宋体" w:cs="宋体"/>
          <w:color w:val="auto"/>
          <w:sz w:val="24"/>
          <w:szCs w:val="24"/>
          <w:highlight w:val="none"/>
          <w:u w:val="dotted"/>
        </w:rPr>
        <w:t xml:space="preserve">                    </w:t>
      </w:r>
      <w:bookmarkEnd w:id="443"/>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44" w:name="PO_3000001867_PM026_6"/>
      <w:r>
        <w:rPr>
          <w:rFonts w:hint="eastAsia" w:ascii="宋体" w:hAnsi="宋体" w:eastAsia="宋体" w:cs="宋体"/>
          <w:color w:val="auto"/>
          <w:sz w:val="24"/>
          <w:szCs w:val="24"/>
          <w:highlight w:val="none"/>
          <w:u w:val="dotted"/>
        </w:rPr>
        <w:t xml:space="preserve">                    </w:t>
      </w:r>
      <w:bookmarkEnd w:id="444"/>
      <w:r>
        <w:rPr>
          <w:rFonts w:hint="eastAsia" w:ascii="宋体" w:hAnsi="宋体" w:eastAsia="宋体" w:cs="宋体"/>
          <w:color w:val="auto"/>
          <w:sz w:val="24"/>
          <w:szCs w:val="24"/>
          <w:highlight w:val="none"/>
          <w:u w:val="dotted"/>
          <w:lang w:val="en-US" w:eastAsia="zh-CN"/>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D4EDD1-4AB6-46D3-A3AA-41A0004E5EA5}"/>
  </w:font>
  <w:font w:name="黑体">
    <w:panose1 w:val="02010609060101010101"/>
    <w:charset w:val="86"/>
    <w:family w:val="auto"/>
    <w:pitch w:val="default"/>
    <w:sig w:usb0="800002BF" w:usb1="38CF7CFA" w:usb2="00000016" w:usb3="00000000" w:csb0="00040001" w:csb1="00000000"/>
    <w:embedRegular r:id="rId2" w:fontKey="{102B29BC-FEC0-407E-96FB-E7216ED1B86C}"/>
  </w:font>
  <w:font w:name="Courier New">
    <w:panose1 w:val="02070309020205020404"/>
    <w:charset w:val="01"/>
    <w:family w:val="modern"/>
    <w:pitch w:val="default"/>
    <w:sig w:usb0="E0002EFF" w:usb1="C0007843" w:usb2="00000009" w:usb3="00000000" w:csb0="400001FF" w:csb1="FFFF0000"/>
    <w:embedRegular r:id="rId3" w:fontKey="{E3773B44-7272-4683-9A68-C6049EF2DD7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B918C413-2D6B-4B57-981F-F6339E9A1A1E}"/>
  </w:font>
  <w:font w:name="仿宋">
    <w:panose1 w:val="02010609060101010101"/>
    <w:charset w:val="86"/>
    <w:family w:val="auto"/>
    <w:pitch w:val="default"/>
    <w:sig w:usb0="800002BF" w:usb1="38CF7CFA" w:usb2="00000016" w:usb3="00000000" w:csb0="00040001" w:csb1="00000000"/>
    <w:embedRegular r:id="rId5" w:fontKey="{A91D8B07-F8CB-4708-949A-B9B1F76C420F}"/>
  </w:font>
  <w:font w:name="方正小标宋简体">
    <w:panose1 w:val="02000000000000000000"/>
    <w:charset w:val="86"/>
    <w:family w:val="auto"/>
    <w:pitch w:val="default"/>
    <w:sig w:usb0="00000001" w:usb1="08000000" w:usb2="00000000" w:usb3="00000000" w:csb0="00040000" w:csb1="00000000"/>
    <w:embedRegular r:id="rId6" w:fontKey="{BB24ED08-6E3C-40B8-9463-EEFBD76DF151}"/>
  </w:font>
  <w:font w:name="楷体">
    <w:panose1 w:val="02010609060101010101"/>
    <w:charset w:val="86"/>
    <w:family w:val="modern"/>
    <w:pitch w:val="default"/>
    <w:sig w:usb0="800002BF" w:usb1="38CF7CFA" w:usb2="00000016" w:usb3="00000000" w:csb0="00040001" w:csb1="00000000"/>
    <w:embedRegular r:id="rId7" w:fontKey="{17FFBFDB-07B4-44A8-8149-66C8046B0D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pPr>
      <w:pStyle w:val="14"/>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end"/>
    </w:r>
  </w:p>
  <w:p>
    <w:pPr>
      <w:pStyle w:val="14"/>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FF5F006"/>
    <w:multiLevelType w:val="singleLevel"/>
    <w:tmpl w:val="1FF5F006"/>
    <w:lvl w:ilvl="0" w:tentative="0">
      <w:start w:val="1"/>
      <w:numFmt w:val="chineseCounting"/>
      <w:suff w:val="nothing"/>
      <w:lvlText w:val="%1、"/>
      <w:lvlJc w:val="left"/>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348E8DD0"/>
    <w:multiLevelType w:val="singleLevel"/>
    <w:tmpl w:val="348E8DD0"/>
    <w:lvl w:ilvl="0" w:tentative="0">
      <w:start w:val="2"/>
      <w:numFmt w:val="decimal"/>
      <w:suff w:val="space"/>
      <w:lvlText w:val="%1."/>
      <w:lvlJc w:val="left"/>
    </w:lvl>
  </w:abstractNum>
  <w:abstractNum w:abstractNumId="5">
    <w:nsid w:val="51536378"/>
    <w:multiLevelType w:val="singleLevel"/>
    <w:tmpl w:val="51536378"/>
    <w:lvl w:ilvl="0" w:tentative="0">
      <w:start w:val="1"/>
      <w:numFmt w:val="decimal"/>
      <w:suff w:val="nothing"/>
      <w:lvlText w:val="（%1）"/>
      <w:lvlJc w:val="left"/>
      <w:pPr>
        <w:ind w:left="0" w:firstLine="0"/>
      </w:pPr>
    </w:lvl>
  </w:abstractNum>
  <w:num w:numId="1">
    <w:abstractNumId w:val="2"/>
  </w:num>
  <w:num w:numId="2">
    <w:abstractNumId w:val="0"/>
  </w:num>
  <w:num w:numId="3">
    <w:abstractNumId w:val="5"/>
    <w:lvlOverride w:ilvl="0">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TE4Y2EwNGUwNTA5ZTk0ODVmYmYwNWU3YjQyYWUifQ=="/>
  </w:docVars>
  <w:rsids>
    <w:rsidRoot w:val="00172A27"/>
    <w:rsid w:val="00C621D0"/>
    <w:rsid w:val="00D26508"/>
    <w:rsid w:val="00D47C35"/>
    <w:rsid w:val="00D95B39"/>
    <w:rsid w:val="00DB6B5A"/>
    <w:rsid w:val="01095920"/>
    <w:rsid w:val="011B02F9"/>
    <w:rsid w:val="012A54D2"/>
    <w:rsid w:val="014275A5"/>
    <w:rsid w:val="014E69AF"/>
    <w:rsid w:val="019759AD"/>
    <w:rsid w:val="01A72EEF"/>
    <w:rsid w:val="01BE6222"/>
    <w:rsid w:val="01C73E98"/>
    <w:rsid w:val="01C92250"/>
    <w:rsid w:val="02055082"/>
    <w:rsid w:val="02974B2C"/>
    <w:rsid w:val="02CC6E30"/>
    <w:rsid w:val="02D92142"/>
    <w:rsid w:val="03323B4D"/>
    <w:rsid w:val="035C3D6F"/>
    <w:rsid w:val="036A4118"/>
    <w:rsid w:val="037B5A38"/>
    <w:rsid w:val="038207AB"/>
    <w:rsid w:val="038F07B3"/>
    <w:rsid w:val="04054EA8"/>
    <w:rsid w:val="041C7FB9"/>
    <w:rsid w:val="047475DC"/>
    <w:rsid w:val="04975296"/>
    <w:rsid w:val="049A7C20"/>
    <w:rsid w:val="04A309D6"/>
    <w:rsid w:val="04A57753"/>
    <w:rsid w:val="04C31FAE"/>
    <w:rsid w:val="04E34912"/>
    <w:rsid w:val="054579FD"/>
    <w:rsid w:val="054D6CFB"/>
    <w:rsid w:val="054F5D32"/>
    <w:rsid w:val="056D44BF"/>
    <w:rsid w:val="05A71B3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CB185D"/>
    <w:rsid w:val="07DA4E9C"/>
    <w:rsid w:val="08093A71"/>
    <w:rsid w:val="08A76D34"/>
    <w:rsid w:val="08F00221"/>
    <w:rsid w:val="08FB6F31"/>
    <w:rsid w:val="09572877"/>
    <w:rsid w:val="097C1490"/>
    <w:rsid w:val="099E24B2"/>
    <w:rsid w:val="09AB0983"/>
    <w:rsid w:val="09CE1116"/>
    <w:rsid w:val="09E076C7"/>
    <w:rsid w:val="0A1E7575"/>
    <w:rsid w:val="0A2013A9"/>
    <w:rsid w:val="0A435CEB"/>
    <w:rsid w:val="0A564057"/>
    <w:rsid w:val="0A765A8A"/>
    <w:rsid w:val="0A813285"/>
    <w:rsid w:val="0AA809C6"/>
    <w:rsid w:val="0ACE705D"/>
    <w:rsid w:val="0AD3705F"/>
    <w:rsid w:val="0AF837E4"/>
    <w:rsid w:val="0B05035F"/>
    <w:rsid w:val="0B2B22F5"/>
    <w:rsid w:val="0B5140BC"/>
    <w:rsid w:val="0B615CFF"/>
    <w:rsid w:val="0B6D3325"/>
    <w:rsid w:val="0B831A63"/>
    <w:rsid w:val="0B8C6DD9"/>
    <w:rsid w:val="0B8F7AB0"/>
    <w:rsid w:val="0BA95626"/>
    <w:rsid w:val="0BC23C9A"/>
    <w:rsid w:val="0C01007F"/>
    <w:rsid w:val="0C463AE2"/>
    <w:rsid w:val="0C585D0D"/>
    <w:rsid w:val="0CDC043F"/>
    <w:rsid w:val="0D3B1F2E"/>
    <w:rsid w:val="0D3B4AA2"/>
    <w:rsid w:val="0D543F47"/>
    <w:rsid w:val="0D9269B0"/>
    <w:rsid w:val="0D992AED"/>
    <w:rsid w:val="0E0F21BC"/>
    <w:rsid w:val="0E1770D6"/>
    <w:rsid w:val="0E2B18D5"/>
    <w:rsid w:val="0E3218E4"/>
    <w:rsid w:val="0E73260E"/>
    <w:rsid w:val="0EA91BC1"/>
    <w:rsid w:val="0EEF6AAD"/>
    <w:rsid w:val="0EFB7D6B"/>
    <w:rsid w:val="0F012419"/>
    <w:rsid w:val="0F035F56"/>
    <w:rsid w:val="0F17197D"/>
    <w:rsid w:val="0F3410B2"/>
    <w:rsid w:val="0F524821"/>
    <w:rsid w:val="0F6B1F01"/>
    <w:rsid w:val="0FB74DC9"/>
    <w:rsid w:val="101A621B"/>
    <w:rsid w:val="102F0E28"/>
    <w:rsid w:val="10390118"/>
    <w:rsid w:val="10A25EDA"/>
    <w:rsid w:val="10D4339F"/>
    <w:rsid w:val="114D27D8"/>
    <w:rsid w:val="11652FD6"/>
    <w:rsid w:val="11D843F8"/>
    <w:rsid w:val="11F56084"/>
    <w:rsid w:val="120D6C92"/>
    <w:rsid w:val="124B49D0"/>
    <w:rsid w:val="12DE2AB6"/>
    <w:rsid w:val="12E271C4"/>
    <w:rsid w:val="12E63C04"/>
    <w:rsid w:val="13004370"/>
    <w:rsid w:val="13D773DA"/>
    <w:rsid w:val="144E3925"/>
    <w:rsid w:val="14523C8E"/>
    <w:rsid w:val="14814229"/>
    <w:rsid w:val="1485642A"/>
    <w:rsid w:val="148C55F5"/>
    <w:rsid w:val="1493579A"/>
    <w:rsid w:val="14A02656"/>
    <w:rsid w:val="14E67255"/>
    <w:rsid w:val="14EF2214"/>
    <w:rsid w:val="15112FB3"/>
    <w:rsid w:val="1517629B"/>
    <w:rsid w:val="152A6D51"/>
    <w:rsid w:val="15A71FCF"/>
    <w:rsid w:val="15CE73E7"/>
    <w:rsid w:val="15DA6861"/>
    <w:rsid w:val="15F7039E"/>
    <w:rsid w:val="16243806"/>
    <w:rsid w:val="16521360"/>
    <w:rsid w:val="169D6CED"/>
    <w:rsid w:val="16CC463A"/>
    <w:rsid w:val="172A6452"/>
    <w:rsid w:val="17386AF0"/>
    <w:rsid w:val="17526FA4"/>
    <w:rsid w:val="178A5D34"/>
    <w:rsid w:val="1795379C"/>
    <w:rsid w:val="18063809"/>
    <w:rsid w:val="18471274"/>
    <w:rsid w:val="186E164B"/>
    <w:rsid w:val="18817186"/>
    <w:rsid w:val="18A53C2D"/>
    <w:rsid w:val="18E66AB2"/>
    <w:rsid w:val="19097C61"/>
    <w:rsid w:val="19155678"/>
    <w:rsid w:val="19340884"/>
    <w:rsid w:val="194F7902"/>
    <w:rsid w:val="19B81747"/>
    <w:rsid w:val="19DC1C4E"/>
    <w:rsid w:val="19FF33EE"/>
    <w:rsid w:val="1A224809"/>
    <w:rsid w:val="1A70567B"/>
    <w:rsid w:val="1A774458"/>
    <w:rsid w:val="1A846A93"/>
    <w:rsid w:val="1A9505EA"/>
    <w:rsid w:val="1AA22304"/>
    <w:rsid w:val="1ABD34B5"/>
    <w:rsid w:val="1B1A3D35"/>
    <w:rsid w:val="1B8B4540"/>
    <w:rsid w:val="1B980981"/>
    <w:rsid w:val="1BC83144"/>
    <w:rsid w:val="1BEA4C7C"/>
    <w:rsid w:val="1C6D1106"/>
    <w:rsid w:val="1C885DAD"/>
    <w:rsid w:val="1C9E7D2D"/>
    <w:rsid w:val="1CA43733"/>
    <w:rsid w:val="1CAB0B30"/>
    <w:rsid w:val="1CCA5C25"/>
    <w:rsid w:val="1D556DBC"/>
    <w:rsid w:val="1DCE6560"/>
    <w:rsid w:val="1DF1639C"/>
    <w:rsid w:val="1E037DAC"/>
    <w:rsid w:val="1E175EC1"/>
    <w:rsid w:val="1E55723C"/>
    <w:rsid w:val="1EA4279A"/>
    <w:rsid w:val="1EA700B7"/>
    <w:rsid w:val="1F152A17"/>
    <w:rsid w:val="1F4E3E9E"/>
    <w:rsid w:val="1F6210D9"/>
    <w:rsid w:val="1F640C4B"/>
    <w:rsid w:val="1F7C3BBA"/>
    <w:rsid w:val="1FC2394D"/>
    <w:rsid w:val="1FCF2A25"/>
    <w:rsid w:val="1FDB5818"/>
    <w:rsid w:val="202A5D19"/>
    <w:rsid w:val="208D2FA3"/>
    <w:rsid w:val="20910DC7"/>
    <w:rsid w:val="209640CD"/>
    <w:rsid w:val="20967EE2"/>
    <w:rsid w:val="20D3473E"/>
    <w:rsid w:val="20DD79A8"/>
    <w:rsid w:val="20E233A0"/>
    <w:rsid w:val="20E3050A"/>
    <w:rsid w:val="21170006"/>
    <w:rsid w:val="213D7796"/>
    <w:rsid w:val="215E6B36"/>
    <w:rsid w:val="21660D84"/>
    <w:rsid w:val="217D1569"/>
    <w:rsid w:val="21AB6CB3"/>
    <w:rsid w:val="21B4139D"/>
    <w:rsid w:val="21DA28C2"/>
    <w:rsid w:val="21E92535"/>
    <w:rsid w:val="21EA67DF"/>
    <w:rsid w:val="22494C50"/>
    <w:rsid w:val="22551944"/>
    <w:rsid w:val="225718E5"/>
    <w:rsid w:val="2279283A"/>
    <w:rsid w:val="227A5108"/>
    <w:rsid w:val="22AB5DF9"/>
    <w:rsid w:val="22C87A6E"/>
    <w:rsid w:val="22CE4F93"/>
    <w:rsid w:val="22DA3051"/>
    <w:rsid w:val="22DC4C58"/>
    <w:rsid w:val="23236BC0"/>
    <w:rsid w:val="237F36A3"/>
    <w:rsid w:val="23AD68F9"/>
    <w:rsid w:val="23C31EAF"/>
    <w:rsid w:val="23C46C9C"/>
    <w:rsid w:val="23CD5BEA"/>
    <w:rsid w:val="23D46646"/>
    <w:rsid w:val="23E16DB3"/>
    <w:rsid w:val="23EF07BD"/>
    <w:rsid w:val="240B21ED"/>
    <w:rsid w:val="242D3833"/>
    <w:rsid w:val="24816B05"/>
    <w:rsid w:val="24941690"/>
    <w:rsid w:val="24C33331"/>
    <w:rsid w:val="24CF590E"/>
    <w:rsid w:val="24FD473D"/>
    <w:rsid w:val="25581FF1"/>
    <w:rsid w:val="25665875"/>
    <w:rsid w:val="256C491B"/>
    <w:rsid w:val="258F5A73"/>
    <w:rsid w:val="25CF57C2"/>
    <w:rsid w:val="25E2566C"/>
    <w:rsid w:val="26024071"/>
    <w:rsid w:val="2614778D"/>
    <w:rsid w:val="26A742E8"/>
    <w:rsid w:val="26CF1553"/>
    <w:rsid w:val="26DA0542"/>
    <w:rsid w:val="273259A9"/>
    <w:rsid w:val="27380A7A"/>
    <w:rsid w:val="27503865"/>
    <w:rsid w:val="275A5F00"/>
    <w:rsid w:val="276258F6"/>
    <w:rsid w:val="279A2560"/>
    <w:rsid w:val="27DA7DAA"/>
    <w:rsid w:val="27F23143"/>
    <w:rsid w:val="28063E8E"/>
    <w:rsid w:val="28790670"/>
    <w:rsid w:val="29095C9F"/>
    <w:rsid w:val="291B1976"/>
    <w:rsid w:val="291D4F17"/>
    <w:rsid w:val="292145DB"/>
    <w:rsid w:val="292D12B6"/>
    <w:rsid w:val="29AB0C3B"/>
    <w:rsid w:val="29BB4910"/>
    <w:rsid w:val="29DB234D"/>
    <w:rsid w:val="29DD3939"/>
    <w:rsid w:val="2A1F36F3"/>
    <w:rsid w:val="2A636FF6"/>
    <w:rsid w:val="2A80573B"/>
    <w:rsid w:val="2B3B1E66"/>
    <w:rsid w:val="2B770163"/>
    <w:rsid w:val="2B960D99"/>
    <w:rsid w:val="2B9E3F4D"/>
    <w:rsid w:val="2B9E7E17"/>
    <w:rsid w:val="2BCB247B"/>
    <w:rsid w:val="2C7D12B4"/>
    <w:rsid w:val="2CCA7EB6"/>
    <w:rsid w:val="2CED73A5"/>
    <w:rsid w:val="2CF72413"/>
    <w:rsid w:val="2D3347E7"/>
    <w:rsid w:val="2D4F38E3"/>
    <w:rsid w:val="2D6045A9"/>
    <w:rsid w:val="2D9617F6"/>
    <w:rsid w:val="2DBE7E6A"/>
    <w:rsid w:val="2DCB0FE4"/>
    <w:rsid w:val="2DEC5B1F"/>
    <w:rsid w:val="2E21726B"/>
    <w:rsid w:val="2E7532C5"/>
    <w:rsid w:val="2F423753"/>
    <w:rsid w:val="2F575FD4"/>
    <w:rsid w:val="2FB87BD1"/>
    <w:rsid w:val="2FF80F0E"/>
    <w:rsid w:val="304108B1"/>
    <w:rsid w:val="305807BF"/>
    <w:rsid w:val="306B5FE8"/>
    <w:rsid w:val="307E46AF"/>
    <w:rsid w:val="30D81EF7"/>
    <w:rsid w:val="30D93356"/>
    <w:rsid w:val="30DA1DD9"/>
    <w:rsid w:val="318D2CFD"/>
    <w:rsid w:val="31EF7B28"/>
    <w:rsid w:val="32015993"/>
    <w:rsid w:val="322118FB"/>
    <w:rsid w:val="322476CF"/>
    <w:rsid w:val="322B55AE"/>
    <w:rsid w:val="32390A38"/>
    <w:rsid w:val="32521B1D"/>
    <w:rsid w:val="326C65A7"/>
    <w:rsid w:val="326D5167"/>
    <w:rsid w:val="326E6C1E"/>
    <w:rsid w:val="329F5F4A"/>
    <w:rsid w:val="32AD00E0"/>
    <w:rsid w:val="32BB403E"/>
    <w:rsid w:val="32DD681E"/>
    <w:rsid w:val="32E3590E"/>
    <w:rsid w:val="32FC3D25"/>
    <w:rsid w:val="33136037"/>
    <w:rsid w:val="3316675F"/>
    <w:rsid w:val="33800A0F"/>
    <w:rsid w:val="338E424C"/>
    <w:rsid w:val="339B377C"/>
    <w:rsid w:val="33D1368F"/>
    <w:rsid w:val="345631E3"/>
    <w:rsid w:val="34572A71"/>
    <w:rsid w:val="349D7A9E"/>
    <w:rsid w:val="34B410D3"/>
    <w:rsid w:val="34BB41E0"/>
    <w:rsid w:val="34BC4B4B"/>
    <w:rsid w:val="34DE4812"/>
    <w:rsid w:val="3507717E"/>
    <w:rsid w:val="350C2D09"/>
    <w:rsid w:val="3592350F"/>
    <w:rsid w:val="35A67A5F"/>
    <w:rsid w:val="3615435C"/>
    <w:rsid w:val="361C37F0"/>
    <w:rsid w:val="361E362C"/>
    <w:rsid w:val="3635774B"/>
    <w:rsid w:val="3642105E"/>
    <w:rsid w:val="366E1C81"/>
    <w:rsid w:val="366E4460"/>
    <w:rsid w:val="36773E5D"/>
    <w:rsid w:val="36801F8F"/>
    <w:rsid w:val="36AF573D"/>
    <w:rsid w:val="36BB169B"/>
    <w:rsid w:val="36CF23CE"/>
    <w:rsid w:val="36D3565B"/>
    <w:rsid w:val="36E0622F"/>
    <w:rsid w:val="36ED3DEE"/>
    <w:rsid w:val="3720584E"/>
    <w:rsid w:val="375D21A8"/>
    <w:rsid w:val="3779039B"/>
    <w:rsid w:val="37FB3273"/>
    <w:rsid w:val="383967AA"/>
    <w:rsid w:val="387F5AF8"/>
    <w:rsid w:val="388C0E52"/>
    <w:rsid w:val="38E50D89"/>
    <w:rsid w:val="39455184"/>
    <w:rsid w:val="39726B7C"/>
    <w:rsid w:val="398C1743"/>
    <w:rsid w:val="399B6E57"/>
    <w:rsid w:val="39EA3076"/>
    <w:rsid w:val="3A2C1123"/>
    <w:rsid w:val="3A395E36"/>
    <w:rsid w:val="3A443C96"/>
    <w:rsid w:val="3A5E70A9"/>
    <w:rsid w:val="3A605AF2"/>
    <w:rsid w:val="3ADE1AAE"/>
    <w:rsid w:val="3B457F98"/>
    <w:rsid w:val="3B6C49BC"/>
    <w:rsid w:val="3B776CDF"/>
    <w:rsid w:val="3BA30382"/>
    <w:rsid w:val="3BAA39EE"/>
    <w:rsid w:val="3C0359A7"/>
    <w:rsid w:val="3C457F4A"/>
    <w:rsid w:val="3C9C292F"/>
    <w:rsid w:val="3DBD339D"/>
    <w:rsid w:val="3E4F3CEB"/>
    <w:rsid w:val="3E8B7A4C"/>
    <w:rsid w:val="3EF54968"/>
    <w:rsid w:val="3F1B0FC1"/>
    <w:rsid w:val="3F246DEE"/>
    <w:rsid w:val="3F320B28"/>
    <w:rsid w:val="3F4A0470"/>
    <w:rsid w:val="3F5512BA"/>
    <w:rsid w:val="3FD602BE"/>
    <w:rsid w:val="400468BA"/>
    <w:rsid w:val="40455FBC"/>
    <w:rsid w:val="40D60483"/>
    <w:rsid w:val="40EF446D"/>
    <w:rsid w:val="40FD0A5D"/>
    <w:rsid w:val="41366D43"/>
    <w:rsid w:val="4152018A"/>
    <w:rsid w:val="416C7DBD"/>
    <w:rsid w:val="419819F7"/>
    <w:rsid w:val="41F122DB"/>
    <w:rsid w:val="4234381E"/>
    <w:rsid w:val="42954201"/>
    <w:rsid w:val="429823CB"/>
    <w:rsid w:val="429D5C8C"/>
    <w:rsid w:val="42A178EE"/>
    <w:rsid w:val="43050FCE"/>
    <w:rsid w:val="433831AE"/>
    <w:rsid w:val="433B256A"/>
    <w:rsid w:val="43460D6B"/>
    <w:rsid w:val="43F31EC1"/>
    <w:rsid w:val="43FA4C4D"/>
    <w:rsid w:val="43FB1131"/>
    <w:rsid w:val="441A2345"/>
    <w:rsid w:val="44385910"/>
    <w:rsid w:val="443F0DB6"/>
    <w:rsid w:val="445E4478"/>
    <w:rsid w:val="447E4A26"/>
    <w:rsid w:val="449F1233"/>
    <w:rsid w:val="44E471D7"/>
    <w:rsid w:val="45500698"/>
    <w:rsid w:val="458F40E0"/>
    <w:rsid w:val="45D4622A"/>
    <w:rsid w:val="462E0726"/>
    <w:rsid w:val="4683709C"/>
    <w:rsid w:val="46AF2877"/>
    <w:rsid w:val="471760F8"/>
    <w:rsid w:val="47435B56"/>
    <w:rsid w:val="476123B9"/>
    <w:rsid w:val="47720309"/>
    <w:rsid w:val="478009AC"/>
    <w:rsid w:val="47A42B87"/>
    <w:rsid w:val="47B03B4D"/>
    <w:rsid w:val="482C232B"/>
    <w:rsid w:val="484A0F00"/>
    <w:rsid w:val="484E4048"/>
    <w:rsid w:val="48787FAC"/>
    <w:rsid w:val="48924F65"/>
    <w:rsid w:val="489B2F4B"/>
    <w:rsid w:val="48C0305C"/>
    <w:rsid w:val="48CF07C1"/>
    <w:rsid w:val="48D1046F"/>
    <w:rsid w:val="49360D0C"/>
    <w:rsid w:val="493865B5"/>
    <w:rsid w:val="496C7C8D"/>
    <w:rsid w:val="498469FF"/>
    <w:rsid w:val="49DF5A21"/>
    <w:rsid w:val="4A187D2D"/>
    <w:rsid w:val="4AC863B5"/>
    <w:rsid w:val="4ADD6C7C"/>
    <w:rsid w:val="4B410C16"/>
    <w:rsid w:val="4B44380D"/>
    <w:rsid w:val="4B7F5BCC"/>
    <w:rsid w:val="4BA94BA1"/>
    <w:rsid w:val="4BB30F42"/>
    <w:rsid w:val="4BC17ABD"/>
    <w:rsid w:val="4BEE18C0"/>
    <w:rsid w:val="4BF33563"/>
    <w:rsid w:val="4BF50CB2"/>
    <w:rsid w:val="4C6E15BF"/>
    <w:rsid w:val="4C737E6D"/>
    <w:rsid w:val="4C9108BC"/>
    <w:rsid w:val="4CAF6EB5"/>
    <w:rsid w:val="4CB2054A"/>
    <w:rsid w:val="4CC65386"/>
    <w:rsid w:val="4CD9638C"/>
    <w:rsid w:val="4CDF679D"/>
    <w:rsid w:val="4CFE0910"/>
    <w:rsid w:val="4D165162"/>
    <w:rsid w:val="4D170BB5"/>
    <w:rsid w:val="4D574D34"/>
    <w:rsid w:val="4D640565"/>
    <w:rsid w:val="4D7213D6"/>
    <w:rsid w:val="4DB67C3F"/>
    <w:rsid w:val="4DB93C1C"/>
    <w:rsid w:val="4DDB3C99"/>
    <w:rsid w:val="4DDC3463"/>
    <w:rsid w:val="4E050942"/>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67405"/>
    <w:rsid w:val="50BF7A86"/>
    <w:rsid w:val="50F7462E"/>
    <w:rsid w:val="50FC2C3C"/>
    <w:rsid w:val="5165451C"/>
    <w:rsid w:val="518F7337"/>
    <w:rsid w:val="51CA2B07"/>
    <w:rsid w:val="51D574B6"/>
    <w:rsid w:val="51D97625"/>
    <w:rsid w:val="520D40AC"/>
    <w:rsid w:val="52237D21"/>
    <w:rsid w:val="524B5983"/>
    <w:rsid w:val="527777E7"/>
    <w:rsid w:val="528E2E9A"/>
    <w:rsid w:val="52A248C9"/>
    <w:rsid w:val="533E54DE"/>
    <w:rsid w:val="53532AF5"/>
    <w:rsid w:val="5363174A"/>
    <w:rsid w:val="53781CD0"/>
    <w:rsid w:val="53BE66B0"/>
    <w:rsid w:val="53D272B4"/>
    <w:rsid w:val="53E429F3"/>
    <w:rsid w:val="53FC7D3D"/>
    <w:rsid w:val="544F4B17"/>
    <w:rsid w:val="54690E06"/>
    <w:rsid w:val="547D1B69"/>
    <w:rsid w:val="547D3CA1"/>
    <w:rsid w:val="549A78FD"/>
    <w:rsid w:val="54A71544"/>
    <w:rsid w:val="54E03240"/>
    <w:rsid w:val="54E161E6"/>
    <w:rsid w:val="556B6B87"/>
    <w:rsid w:val="55717EF0"/>
    <w:rsid w:val="55B83796"/>
    <w:rsid w:val="55BD62FC"/>
    <w:rsid w:val="55CF4789"/>
    <w:rsid w:val="55E24205"/>
    <w:rsid w:val="55FF3119"/>
    <w:rsid w:val="56290606"/>
    <w:rsid w:val="56960007"/>
    <w:rsid w:val="569C33FD"/>
    <w:rsid w:val="56A67268"/>
    <w:rsid w:val="56AD53E1"/>
    <w:rsid w:val="56E17E4B"/>
    <w:rsid w:val="571177FA"/>
    <w:rsid w:val="571A4D54"/>
    <w:rsid w:val="57285324"/>
    <w:rsid w:val="572C50A1"/>
    <w:rsid w:val="574A79DE"/>
    <w:rsid w:val="574E744D"/>
    <w:rsid w:val="57862A77"/>
    <w:rsid w:val="57D26EB7"/>
    <w:rsid w:val="580653FD"/>
    <w:rsid w:val="580F63AE"/>
    <w:rsid w:val="586B7753"/>
    <w:rsid w:val="58AA581E"/>
    <w:rsid w:val="58D5070A"/>
    <w:rsid w:val="59043E01"/>
    <w:rsid w:val="59BB60CF"/>
    <w:rsid w:val="59D34D02"/>
    <w:rsid w:val="5A4E4EC1"/>
    <w:rsid w:val="5A4E7262"/>
    <w:rsid w:val="5A791DEA"/>
    <w:rsid w:val="5A7C75A7"/>
    <w:rsid w:val="5A831B3A"/>
    <w:rsid w:val="5AEE72F1"/>
    <w:rsid w:val="5BC24B08"/>
    <w:rsid w:val="5BE34185"/>
    <w:rsid w:val="5BF6728A"/>
    <w:rsid w:val="5C083ADA"/>
    <w:rsid w:val="5C766F57"/>
    <w:rsid w:val="5C7865A7"/>
    <w:rsid w:val="5C9F3A65"/>
    <w:rsid w:val="5CB11B30"/>
    <w:rsid w:val="5D0C1B5E"/>
    <w:rsid w:val="5D10309F"/>
    <w:rsid w:val="5D2B4B79"/>
    <w:rsid w:val="5D3D543E"/>
    <w:rsid w:val="5D425978"/>
    <w:rsid w:val="5D6F03B3"/>
    <w:rsid w:val="5D8F57D0"/>
    <w:rsid w:val="5D9769EF"/>
    <w:rsid w:val="5DB43D5B"/>
    <w:rsid w:val="5DC90AF1"/>
    <w:rsid w:val="5E1F3CF6"/>
    <w:rsid w:val="5E565CA2"/>
    <w:rsid w:val="5E7B08D1"/>
    <w:rsid w:val="5E826CA8"/>
    <w:rsid w:val="5E847D30"/>
    <w:rsid w:val="5EAB0D2C"/>
    <w:rsid w:val="5F2B1805"/>
    <w:rsid w:val="5F476193"/>
    <w:rsid w:val="5F4D6DA2"/>
    <w:rsid w:val="5FA17662"/>
    <w:rsid w:val="5FAE1170"/>
    <w:rsid w:val="5FB76261"/>
    <w:rsid w:val="604231D2"/>
    <w:rsid w:val="60573113"/>
    <w:rsid w:val="608A289D"/>
    <w:rsid w:val="60A9595B"/>
    <w:rsid w:val="60D56C76"/>
    <w:rsid w:val="60E342E4"/>
    <w:rsid w:val="61151723"/>
    <w:rsid w:val="613432FE"/>
    <w:rsid w:val="614528AC"/>
    <w:rsid w:val="617B565A"/>
    <w:rsid w:val="619D6B85"/>
    <w:rsid w:val="61B363CD"/>
    <w:rsid w:val="61FA1B70"/>
    <w:rsid w:val="61FB170E"/>
    <w:rsid w:val="62A00E16"/>
    <w:rsid w:val="62D14C9E"/>
    <w:rsid w:val="633F463B"/>
    <w:rsid w:val="639F7DC1"/>
    <w:rsid w:val="63EE313D"/>
    <w:rsid w:val="63F30435"/>
    <w:rsid w:val="63F743E1"/>
    <w:rsid w:val="64050ABF"/>
    <w:rsid w:val="642D1CFD"/>
    <w:rsid w:val="64363468"/>
    <w:rsid w:val="645239A3"/>
    <w:rsid w:val="64B32E2F"/>
    <w:rsid w:val="64C157D9"/>
    <w:rsid w:val="64CA7FBA"/>
    <w:rsid w:val="64D8451F"/>
    <w:rsid w:val="64E250F2"/>
    <w:rsid w:val="6500469F"/>
    <w:rsid w:val="653D75CE"/>
    <w:rsid w:val="659F6081"/>
    <w:rsid w:val="65A70C8A"/>
    <w:rsid w:val="65A76324"/>
    <w:rsid w:val="65A823F2"/>
    <w:rsid w:val="65B460C5"/>
    <w:rsid w:val="65DE5F71"/>
    <w:rsid w:val="65ED414E"/>
    <w:rsid w:val="65EF4D81"/>
    <w:rsid w:val="65FD598B"/>
    <w:rsid w:val="66145E4D"/>
    <w:rsid w:val="66534994"/>
    <w:rsid w:val="66620E80"/>
    <w:rsid w:val="66B5420B"/>
    <w:rsid w:val="670F7889"/>
    <w:rsid w:val="67126567"/>
    <w:rsid w:val="67211260"/>
    <w:rsid w:val="67460997"/>
    <w:rsid w:val="676557D9"/>
    <w:rsid w:val="676D705E"/>
    <w:rsid w:val="67A05B2A"/>
    <w:rsid w:val="67DE2C50"/>
    <w:rsid w:val="67DE7084"/>
    <w:rsid w:val="67E833FD"/>
    <w:rsid w:val="67F7300E"/>
    <w:rsid w:val="68342E8F"/>
    <w:rsid w:val="68483D18"/>
    <w:rsid w:val="687D4BDD"/>
    <w:rsid w:val="68952F54"/>
    <w:rsid w:val="68DC3EFE"/>
    <w:rsid w:val="68F8398F"/>
    <w:rsid w:val="69125ADB"/>
    <w:rsid w:val="69507B39"/>
    <w:rsid w:val="698E0FEB"/>
    <w:rsid w:val="6998799E"/>
    <w:rsid w:val="699A5808"/>
    <w:rsid w:val="6A3E6267"/>
    <w:rsid w:val="6A5979DE"/>
    <w:rsid w:val="6A8923D3"/>
    <w:rsid w:val="6ADB3525"/>
    <w:rsid w:val="6B8723B0"/>
    <w:rsid w:val="6B8B2B72"/>
    <w:rsid w:val="6BAC2C7D"/>
    <w:rsid w:val="6C230CB1"/>
    <w:rsid w:val="6C3170F0"/>
    <w:rsid w:val="6CA8352E"/>
    <w:rsid w:val="6CB97733"/>
    <w:rsid w:val="6CD725ED"/>
    <w:rsid w:val="6CEA4165"/>
    <w:rsid w:val="6D376AFE"/>
    <w:rsid w:val="6D3B35C4"/>
    <w:rsid w:val="6D546223"/>
    <w:rsid w:val="6D9557A8"/>
    <w:rsid w:val="6E0B4668"/>
    <w:rsid w:val="6E141A2A"/>
    <w:rsid w:val="6E2122B7"/>
    <w:rsid w:val="6E5509CC"/>
    <w:rsid w:val="6EA05AE1"/>
    <w:rsid w:val="6EAB20CD"/>
    <w:rsid w:val="6EE06FEB"/>
    <w:rsid w:val="6EED307F"/>
    <w:rsid w:val="6EF74287"/>
    <w:rsid w:val="6F153218"/>
    <w:rsid w:val="6F1F0ECB"/>
    <w:rsid w:val="6F76486B"/>
    <w:rsid w:val="6F924A6F"/>
    <w:rsid w:val="6FE55BBD"/>
    <w:rsid w:val="707B47C4"/>
    <w:rsid w:val="709B4B83"/>
    <w:rsid w:val="70B64C12"/>
    <w:rsid w:val="70C11755"/>
    <w:rsid w:val="70DD2618"/>
    <w:rsid w:val="70E6544B"/>
    <w:rsid w:val="70ED0986"/>
    <w:rsid w:val="715F18EF"/>
    <w:rsid w:val="71881060"/>
    <w:rsid w:val="71CF0D35"/>
    <w:rsid w:val="71D728C9"/>
    <w:rsid w:val="71E003DD"/>
    <w:rsid w:val="71F41383"/>
    <w:rsid w:val="72021250"/>
    <w:rsid w:val="720F6D7D"/>
    <w:rsid w:val="72472963"/>
    <w:rsid w:val="726532FB"/>
    <w:rsid w:val="72670F93"/>
    <w:rsid w:val="72950198"/>
    <w:rsid w:val="72CE5911"/>
    <w:rsid w:val="72EA4658"/>
    <w:rsid w:val="7320375D"/>
    <w:rsid w:val="734075B0"/>
    <w:rsid w:val="736C23ED"/>
    <w:rsid w:val="73F53DA6"/>
    <w:rsid w:val="742B4973"/>
    <w:rsid w:val="74444F9D"/>
    <w:rsid w:val="748725BD"/>
    <w:rsid w:val="74A01DFE"/>
    <w:rsid w:val="74B00652"/>
    <w:rsid w:val="74C6075E"/>
    <w:rsid w:val="74D86BD2"/>
    <w:rsid w:val="74F109DD"/>
    <w:rsid w:val="7509716F"/>
    <w:rsid w:val="753442AC"/>
    <w:rsid w:val="755A26D4"/>
    <w:rsid w:val="75667239"/>
    <w:rsid w:val="756D0B1E"/>
    <w:rsid w:val="75E57090"/>
    <w:rsid w:val="761B4B26"/>
    <w:rsid w:val="762F10DD"/>
    <w:rsid w:val="76945580"/>
    <w:rsid w:val="769B575F"/>
    <w:rsid w:val="76BE180F"/>
    <w:rsid w:val="76E17EFC"/>
    <w:rsid w:val="771C6DDB"/>
    <w:rsid w:val="774C11E5"/>
    <w:rsid w:val="77563BDF"/>
    <w:rsid w:val="77970501"/>
    <w:rsid w:val="77CE4E49"/>
    <w:rsid w:val="77DD1955"/>
    <w:rsid w:val="78492BFF"/>
    <w:rsid w:val="784A2834"/>
    <w:rsid w:val="78986C8F"/>
    <w:rsid w:val="78F316BE"/>
    <w:rsid w:val="78F53EF1"/>
    <w:rsid w:val="79064ACA"/>
    <w:rsid w:val="79200D68"/>
    <w:rsid w:val="79404045"/>
    <w:rsid w:val="794B1CCF"/>
    <w:rsid w:val="794E1F75"/>
    <w:rsid w:val="799737F5"/>
    <w:rsid w:val="799E4EDF"/>
    <w:rsid w:val="79C40791"/>
    <w:rsid w:val="7A4D6843"/>
    <w:rsid w:val="7A721263"/>
    <w:rsid w:val="7A98300E"/>
    <w:rsid w:val="7AA812CD"/>
    <w:rsid w:val="7AF07397"/>
    <w:rsid w:val="7B2241A0"/>
    <w:rsid w:val="7B4E5F74"/>
    <w:rsid w:val="7B5B590C"/>
    <w:rsid w:val="7BC21276"/>
    <w:rsid w:val="7BF232D8"/>
    <w:rsid w:val="7C0A10B0"/>
    <w:rsid w:val="7C2521C4"/>
    <w:rsid w:val="7C266A5E"/>
    <w:rsid w:val="7C4D471D"/>
    <w:rsid w:val="7C620CEE"/>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E2719D2"/>
    <w:rsid w:val="7E301C88"/>
    <w:rsid w:val="7E5706C0"/>
    <w:rsid w:val="7E730C2B"/>
    <w:rsid w:val="7E797FB0"/>
    <w:rsid w:val="7EA1239A"/>
    <w:rsid w:val="7EC81A6C"/>
    <w:rsid w:val="7ED9582D"/>
    <w:rsid w:val="7F21731A"/>
    <w:rsid w:val="7F3070D0"/>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next w:val="1"/>
    <w:autoRedefine/>
    <w:qFormat/>
    <w:uiPriority w:val="0"/>
    <w:pPr>
      <w:widowControl w:val="0"/>
      <w:tabs>
        <w:tab w:val="left" w:pos="2155"/>
      </w:tabs>
      <w:adjustRightInd w:val="0"/>
      <w:spacing w:before="120" w:line="360" w:lineRule="auto"/>
      <w:ind w:left="2155" w:hanging="1078"/>
      <w:jc w:val="both"/>
      <w:textAlignment w:val="baseline"/>
      <w:outlineLvl w:val="3"/>
    </w:pPr>
    <w:rPr>
      <w:rFonts w:ascii="Arial" w:hAnsi="Times New Roman" w:eastAsia="黑体" w:cs="Times New Roman"/>
      <w:kern w:val="0"/>
      <w:sz w:val="28"/>
      <w:szCs w:val="20"/>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3">
    <w:name w:val="Plain Text"/>
    <w:basedOn w:val="1"/>
    <w:next w:val="5"/>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7">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8">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9">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0">
    <w:name w:val="Body Text First Indent 2"/>
    <w:basedOn w:val="1"/>
    <w:autoRedefine/>
    <w:unhideWhenUsed/>
    <w:qFormat/>
    <w:uiPriority w:val="0"/>
    <w:pPr>
      <w:spacing w:beforeLines="0" w:afterLines="0"/>
      <w:ind w:firstLine="420" w:firstLineChars="200"/>
    </w:pPr>
    <w:rPr>
      <w:rFonts w:hint="default" w:ascii="Calibri" w:hAnsi="Calibri" w:eastAsia="宋体"/>
      <w:sz w:val="21"/>
      <w:szCs w:val="24"/>
    </w:rPr>
  </w:style>
  <w:style w:type="table" w:styleId="2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autoRedefine/>
    <w:qFormat/>
    <w:uiPriority w:val="0"/>
  </w:style>
  <w:style w:type="character" w:styleId="26">
    <w:name w:val="FollowedHyperlink"/>
    <w:basedOn w:val="23"/>
    <w:autoRedefine/>
    <w:qFormat/>
    <w:uiPriority w:val="0"/>
    <w:rPr>
      <w:rFonts w:hint="eastAsia" w:ascii="微软雅黑" w:hAnsi="微软雅黑" w:eastAsia="微软雅黑" w:cs="微软雅黑"/>
      <w:color w:val="02396F"/>
      <w:u w:val="single"/>
    </w:rPr>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1">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3">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4">
    <w:name w:val="表格文字"/>
    <w:next w:val="10"/>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5">
    <w:name w:val="Default"/>
    <w:autoRedefine/>
    <w:unhideWhenUsed/>
    <w:qFormat/>
    <w:uiPriority w:val="0"/>
    <w:pPr>
      <w:widowControl w:val="0"/>
      <w:autoSpaceDE w:val="0"/>
      <w:autoSpaceDN w:val="0"/>
      <w:adjustRightInd w:val="0"/>
      <w:spacing w:beforeLines="0" w:afterLines="0"/>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5362</Words>
  <Characters>6495</Characters>
  <Lines>0</Lines>
  <Paragraphs>0</Paragraphs>
  <TotalTime>94</TotalTime>
  <ScaleCrop>false</ScaleCrop>
  <LinksUpToDate>false</LinksUpToDate>
  <CharactersWithSpaces>6770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欧明聪</cp:lastModifiedBy>
  <dcterms:modified xsi:type="dcterms:W3CDTF">2025-05-06T09:21:19Z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4CD9486279C04542AF8A2841555B2590_13</vt:lpwstr>
  </property>
  <property fmtid="{D5CDD505-2E9C-101B-9397-08002B2CF9AE}" pid="4" name="KSOTemplateDocerSaveRecord">
    <vt:lpwstr>eyJoZGlkIjoiNjM0MjEyZTBlNmZkNzkwMzBhODU4YjhhNWM5NmU3OWEiLCJ1c2VySWQiOiIxNTkyMzUzNDk3In0=</vt:lpwstr>
  </property>
</Properties>
</file>